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D7BE" w14:textId="2EACFD80" w:rsidR="00CD0646" w:rsidRPr="000F2126" w:rsidRDefault="00CD0646" w:rsidP="0085551D">
      <w:pPr>
        <w:spacing w:line="240" w:lineRule="atLeast"/>
        <w:jc w:val="center"/>
        <w:rPr>
          <w:b/>
          <w:bCs/>
          <w:szCs w:val="24"/>
        </w:rPr>
      </w:pPr>
      <w:bookmarkStart w:id="0" w:name="_Hlk45039935"/>
      <w:bookmarkStart w:id="1" w:name="_Hlk92715143"/>
      <w:r w:rsidRPr="000F2126">
        <w:rPr>
          <w:b/>
          <w:bCs/>
          <w:szCs w:val="24"/>
        </w:rPr>
        <w:t>UNITED STATES DISTRICT COURT</w:t>
      </w:r>
    </w:p>
    <w:p w14:paraId="408060E7" w14:textId="77777777" w:rsidR="00CD0646" w:rsidRPr="000F2126" w:rsidRDefault="00CD0646" w:rsidP="0085551D">
      <w:pPr>
        <w:spacing w:after="240" w:line="240" w:lineRule="atLeast"/>
        <w:jc w:val="center"/>
        <w:rPr>
          <w:b/>
          <w:bCs/>
          <w:szCs w:val="24"/>
        </w:rPr>
      </w:pPr>
      <w:r w:rsidRPr="000F2126">
        <w:rPr>
          <w:b/>
          <w:bCs/>
          <w:szCs w:val="24"/>
        </w:rPr>
        <w:t>WESTERN DISTRICT OF PENNSYLVANIA</w:t>
      </w:r>
    </w:p>
    <w:tbl>
      <w:tblPr>
        <w:tblStyle w:val="TableGrid"/>
        <w:tblW w:w="9452" w:type="dxa"/>
        <w:tblBorders>
          <w:top w:val="none" w:sz="0" w:space="0" w:color="auto"/>
          <w:left w:val="none" w:sz="0" w:space="0" w:color="auto"/>
          <w:bottom w:val="none" w:sz="0" w:space="0" w:color="auto"/>
          <w:right w:val="none" w:sz="0" w:space="0" w:color="auto"/>
          <w:insideV w:val="dotDash" w:sz="4" w:space="0" w:color="auto"/>
        </w:tblBorders>
        <w:tblLook w:val="04A0" w:firstRow="1" w:lastRow="0" w:firstColumn="1" w:lastColumn="0" w:noHBand="0" w:noVBand="1"/>
      </w:tblPr>
      <w:tblGrid>
        <w:gridCol w:w="5040"/>
        <w:gridCol w:w="4412"/>
      </w:tblGrid>
      <w:tr w:rsidR="00CD0646" w:rsidRPr="00662BD5" w14:paraId="7220D39F" w14:textId="77777777" w:rsidTr="001D4CB9">
        <w:tc>
          <w:tcPr>
            <w:tcW w:w="5040" w:type="dxa"/>
            <w:tcBorders>
              <w:top w:val="single" w:sz="4" w:space="0" w:color="auto"/>
              <w:left w:val="nil"/>
              <w:bottom w:val="single" w:sz="4" w:space="0" w:color="auto"/>
              <w:right w:val="single" w:sz="4" w:space="0" w:color="auto"/>
            </w:tcBorders>
          </w:tcPr>
          <w:p w14:paraId="18125656" w14:textId="5211483A" w:rsidR="00CD0646" w:rsidRPr="0033077A" w:rsidRDefault="000F2126" w:rsidP="0085551D">
            <w:pPr>
              <w:spacing w:before="240" w:line="240" w:lineRule="atLeast"/>
              <w:ind w:right="-20"/>
              <w:rPr>
                <w:szCs w:val="24"/>
              </w:rPr>
            </w:pPr>
            <w:r w:rsidRPr="0033077A">
              <w:rPr>
                <w:szCs w:val="24"/>
              </w:rPr>
              <w:t>BLAIR DOUGLASS</w:t>
            </w:r>
            <w:r w:rsidR="00CD0646" w:rsidRPr="0033077A">
              <w:rPr>
                <w:szCs w:val="24"/>
              </w:rPr>
              <w:t>,</w:t>
            </w:r>
            <w:r w:rsidR="00131B39" w:rsidRPr="0033077A">
              <w:rPr>
                <w:szCs w:val="24"/>
              </w:rPr>
              <w:t xml:space="preserve"> on behalf of himself and all similarly situated</w:t>
            </w:r>
            <w:r w:rsidRPr="0033077A">
              <w:rPr>
                <w:szCs w:val="24"/>
              </w:rPr>
              <w:t xml:space="preserve"> individuals</w:t>
            </w:r>
            <w:r w:rsidR="00131B39" w:rsidRPr="0033077A">
              <w:rPr>
                <w:szCs w:val="24"/>
              </w:rPr>
              <w:t>,</w:t>
            </w:r>
          </w:p>
          <w:p w14:paraId="1286E19C" w14:textId="77777777" w:rsidR="00CD0646" w:rsidRPr="0033077A" w:rsidRDefault="00CD0646" w:rsidP="0085551D">
            <w:pPr>
              <w:spacing w:line="240" w:lineRule="atLeast"/>
              <w:rPr>
                <w:szCs w:val="24"/>
              </w:rPr>
            </w:pPr>
          </w:p>
          <w:p w14:paraId="5B89D245" w14:textId="77777777" w:rsidR="00CD0646" w:rsidRPr="0033077A" w:rsidRDefault="00CD0646" w:rsidP="0085551D">
            <w:pPr>
              <w:spacing w:line="240" w:lineRule="atLeast"/>
              <w:rPr>
                <w:szCs w:val="24"/>
              </w:rPr>
            </w:pPr>
            <w:r w:rsidRPr="0033077A">
              <w:rPr>
                <w:szCs w:val="24"/>
              </w:rPr>
              <w:tab/>
            </w:r>
            <w:r w:rsidRPr="0033077A">
              <w:rPr>
                <w:szCs w:val="24"/>
              </w:rPr>
              <w:tab/>
            </w:r>
            <w:r w:rsidRPr="0033077A">
              <w:rPr>
                <w:szCs w:val="24"/>
              </w:rPr>
              <w:tab/>
              <w:t>Plaintiff,</w:t>
            </w:r>
          </w:p>
          <w:p w14:paraId="51548E89" w14:textId="77777777" w:rsidR="00CD0646" w:rsidRPr="0033077A" w:rsidRDefault="00CD0646" w:rsidP="0085551D">
            <w:pPr>
              <w:spacing w:line="240" w:lineRule="atLeast"/>
              <w:rPr>
                <w:szCs w:val="24"/>
              </w:rPr>
            </w:pPr>
          </w:p>
          <w:p w14:paraId="33ED0612" w14:textId="77777777" w:rsidR="00CD0646" w:rsidRPr="0033077A" w:rsidRDefault="00CD0646" w:rsidP="0085551D">
            <w:pPr>
              <w:spacing w:line="240" w:lineRule="atLeast"/>
              <w:rPr>
                <w:szCs w:val="24"/>
              </w:rPr>
            </w:pPr>
            <w:r w:rsidRPr="0033077A">
              <w:rPr>
                <w:szCs w:val="24"/>
              </w:rPr>
              <w:tab/>
              <w:t>v.</w:t>
            </w:r>
          </w:p>
          <w:p w14:paraId="270EB463" w14:textId="77777777" w:rsidR="00CD0646" w:rsidRPr="0033077A" w:rsidRDefault="00CD0646" w:rsidP="0085551D">
            <w:pPr>
              <w:spacing w:line="240" w:lineRule="atLeast"/>
              <w:rPr>
                <w:szCs w:val="24"/>
              </w:rPr>
            </w:pPr>
          </w:p>
          <w:p w14:paraId="7A2AF741" w14:textId="54C1237B" w:rsidR="00CD0646" w:rsidRPr="0033077A" w:rsidRDefault="000F2126" w:rsidP="0085551D">
            <w:pPr>
              <w:tabs>
                <w:tab w:val="left" w:pos="3782"/>
              </w:tabs>
              <w:spacing w:line="240" w:lineRule="atLeast"/>
              <w:rPr>
                <w:szCs w:val="24"/>
              </w:rPr>
            </w:pPr>
            <w:r w:rsidRPr="0033077A">
              <w:rPr>
                <w:szCs w:val="24"/>
              </w:rPr>
              <w:t>MONDEL</w:t>
            </w:r>
            <w:r w:rsidRPr="000F2126">
              <w:rPr>
                <w:szCs w:val="24"/>
              </w:rPr>
              <w:t>Ē</w:t>
            </w:r>
            <w:r w:rsidRPr="0033077A">
              <w:rPr>
                <w:szCs w:val="24"/>
              </w:rPr>
              <w:t>Z GLOBAL LLC</w:t>
            </w:r>
            <w:r w:rsidR="00CD0646" w:rsidRPr="0033077A">
              <w:rPr>
                <w:szCs w:val="24"/>
              </w:rPr>
              <w:t>,</w:t>
            </w:r>
            <w:r w:rsidR="00CD0646" w:rsidRPr="0033077A">
              <w:rPr>
                <w:szCs w:val="24"/>
              </w:rPr>
              <w:tab/>
            </w:r>
          </w:p>
          <w:p w14:paraId="5D5C68C8" w14:textId="77777777" w:rsidR="00CD0646" w:rsidRPr="0033077A" w:rsidRDefault="00CD0646" w:rsidP="0085551D">
            <w:pPr>
              <w:spacing w:line="240" w:lineRule="atLeast"/>
              <w:rPr>
                <w:szCs w:val="24"/>
              </w:rPr>
            </w:pPr>
          </w:p>
          <w:p w14:paraId="3D2C9759" w14:textId="77777777" w:rsidR="00CD0646" w:rsidRPr="0033077A" w:rsidRDefault="00CD0646" w:rsidP="0085551D">
            <w:pPr>
              <w:spacing w:after="240" w:line="240" w:lineRule="atLeast"/>
              <w:rPr>
                <w:szCs w:val="24"/>
              </w:rPr>
            </w:pPr>
            <w:r w:rsidRPr="0033077A">
              <w:rPr>
                <w:szCs w:val="24"/>
              </w:rPr>
              <w:tab/>
            </w:r>
            <w:r w:rsidRPr="0033077A">
              <w:rPr>
                <w:szCs w:val="24"/>
              </w:rPr>
              <w:tab/>
            </w:r>
            <w:r w:rsidRPr="0033077A">
              <w:rPr>
                <w:szCs w:val="24"/>
              </w:rPr>
              <w:tab/>
              <w:t>Defendant.</w:t>
            </w:r>
          </w:p>
        </w:tc>
        <w:tc>
          <w:tcPr>
            <w:tcW w:w="4412" w:type="dxa"/>
            <w:tcBorders>
              <w:top w:val="nil"/>
              <w:left w:val="single" w:sz="4" w:space="0" w:color="auto"/>
              <w:bottom w:val="nil"/>
              <w:right w:val="nil"/>
            </w:tcBorders>
          </w:tcPr>
          <w:p w14:paraId="72B7113D" w14:textId="77777777" w:rsidR="00CD0646" w:rsidRPr="0033077A" w:rsidRDefault="00CD0646" w:rsidP="0085551D">
            <w:pPr>
              <w:spacing w:line="240" w:lineRule="atLeast"/>
              <w:rPr>
                <w:szCs w:val="24"/>
              </w:rPr>
            </w:pPr>
          </w:p>
          <w:p w14:paraId="741D3E2E" w14:textId="77777777" w:rsidR="00CD0646" w:rsidRPr="0033077A" w:rsidRDefault="00CD0646" w:rsidP="0085551D">
            <w:pPr>
              <w:spacing w:line="240" w:lineRule="atLeast"/>
              <w:rPr>
                <w:szCs w:val="24"/>
              </w:rPr>
            </w:pPr>
          </w:p>
          <w:p w14:paraId="20E74FA4" w14:textId="77777777" w:rsidR="00CD0646" w:rsidRPr="0033077A" w:rsidRDefault="00CD0646" w:rsidP="0085551D">
            <w:pPr>
              <w:spacing w:line="240" w:lineRule="atLeast"/>
              <w:rPr>
                <w:szCs w:val="24"/>
              </w:rPr>
            </w:pPr>
          </w:p>
          <w:p w14:paraId="1ADB8242" w14:textId="1B79B670" w:rsidR="00CD0646" w:rsidRPr="0033077A" w:rsidRDefault="00CD0646" w:rsidP="0085551D">
            <w:pPr>
              <w:spacing w:line="240" w:lineRule="atLeast"/>
              <w:ind w:left="351"/>
              <w:rPr>
                <w:b/>
                <w:szCs w:val="24"/>
                <w:u w:val="single"/>
              </w:rPr>
            </w:pPr>
            <w:r w:rsidRPr="0033077A">
              <w:rPr>
                <w:szCs w:val="24"/>
              </w:rPr>
              <w:t xml:space="preserve">Civil Action No. </w:t>
            </w:r>
            <w:r w:rsidR="00E4791C" w:rsidRPr="0033077A">
              <w:rPr>
                <w:szCs w:val="24"/>
              </w:rPr>
              <w:t>2</w:t>
            </w:r>
            <w:r w:rsidRPr="0033077A">
              <w:rPr>
                <w:szCs w:val="24"/>
              </w:rPr>
              <w:t>:2</w:t>
            </w:r>
            <w:r w:rsidR="00E4791C" w:rsidRPr="0033077A">
              <w:rPr>
                <w:szCs w:val="24"/>
              </w:rPr>
              <w:t>2</w:t>
            </w:r>
            <w:r w:rsidRPr="0033077A">
              <w:rPr>
                <w:szCs w:val="24"/>
              </w:rPr>
              <w:t>-cv-00</w:t>
            </w:r>
            <w:r w:rsidR="00E4791C" w:rsidRPr="0033077A">
              <w:rPr>
                <w:szCs w:val="24"/>
              </w:rPr>
              <w:t>875</w:t>
            </w:r>
            <w:r w:rsidR="007F155D">
              <w:rPr>
                <w:szCs w:val="24"/>
              </w:rPr>
              <w:t>-WSH</w:t>
            </w:r>
          </w:p>
        </w:tc>
      </w:tr>
    </w:tbl>
    <w:p w14:paraId="7B7AC44D" w14:textId="77777777" w:rsidR="00CE4A1C" w:rsidRPr="0033077A" w:rsidRDefault="00CE4A1C" w:rsidP="0085551D">
      <w:pPr>
        <w:spacing w:line="240" w:lineRule="atLeast"/>
        <w:rPr>
          <w:szCs w:val="24"/>
        </w:rPr>
      </w:pPr>
    </w:p>
    <w:p w14:paraId="3C11A76E" w14:textId="50CC6190" w:rsidR="00BE4013" w:rsidRPr="0033077A" w:rsidRDefault="00CE4A1C" w:rsidP="00A40C0F">
      <w:pPr>
        <w:jc w:val="center"/>
        <w:rPr>
          <w:b/>
          <w:szCs w:val="24"/>
        </w:rPr>
      </w:pPr>
      <w:r w:rsidRPr="0033077A">
        <w:rPr>
          <w:b/>
          <w:szCs w:val="24"/>
        </w:rPr>
        <w:t xml:space="preserve">MEMORANDUM IN SUPPORT OF </w:t>
      </w:r>
      <w:r w:rsidR="00D66FCE" w:rsidRPr="0033077A">
        <w:rPr>
          <w:b/>
          <w:szCs w:val="24"/>
        </w:rPr>
        <w:t>PLAINTIFF’S MOTION</w:t>
      </w:r>
    </w:p>
    <w:p w14:paraId="17584E42" w14:textId="52124E2F" w:rsidR="0033545C" w:rsidRPr="0033077A" w:rsidRDefault="0033545C" w:rsidP="00A40C0F">
      <w:pPr>
        <w:jc w:val="center"/>
        <w:rPr>
          <w:b/>
          <w:szCs w:val="24"/>
        </w:rPr>
      </w:pPr>
      <w:r w:rsidRPr="0033077A">
        <w:rPr>
          <w:b/>
          <w:szCs w:val="24"/>
        </w:rPr>
        <w:t>TO CERTIFY CLASS FOR SETTLEMENT PURPOSES AND</w:t>
      </w:r>
    </w:p>
    <w:p w14:paraId="6A242F92" w14:textId="0925D361" w:rsidR="00CE4A1C" w:rsidRPr="0033077A" w:rsidRDefault="00D66FCE" w:rsidP="00A40C0F">
      <w:pPr>
        <w:jc w:val="center"/>
        <w:rPr>
          <w:b/>
          <w:szCs w:val="24"/>
          <w:u w:val="single"/>
        </w:rPr>
      </w:pPr>
      <w:r w:rsidRPr="0033077A">
        <w:rPr>
          <w:b/>
          <w:szCs w:val="24"/>
          <w:u w:val="single"/>
        </w:rPr>
        <w:t xml:space="preserve">FOR </w:t>
      </w:r>
      <w:r w:rsidR="0033077A" w:rsidRPr="0033077A">
        <w:rPr>
          <w:b/>
          <w:szCs w:val="24"/>
          <w:u w:val="single"/>
        </w:rPr>
        <w:t>PRELIMINARY</w:t>
      </w:r>
      <w:r w:rsidRPr="0033077A">
        <w:rPr>
          <w:b/>
          <w:szCs w:val="24"/>
          <w:u w:val="single"/>
        </w:rPr>
        <w:t xml:space="preserve"> APPROVAL OF CLASS ACTION SETTLEMENT</w:t>
      </w:r>
    </w:p>
    <w:p w14:paraId="0941EF60" w14:textId="77777777" w:rsidR="00CE4A1C" w:rsidRPr="0033077A" w:rsidRDefault="00CE4A1C" w:rsidP="0085551D">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7421" w:rsidRPr="0045244E" w14:paraId="3227C56C" w14:textId="77777777" w:rsidTr="001E3D9E">
        <w:tc>
          <w:tcPr>
            <w:tcW w:w="4675" w:type="dxa"/>
            <w:vAlign w:val="bottom"/>
          </w:tcPr>
          <w:p w14:paraId="28724A17" w14:textId="77777777" w:rsidR="00DD7421" w:rsidRPr="0045244E" w:rsidRDefault="00DD7421" w:rsidP="001E3D9E">
            <w:pPr>
              <w:spacing w:line="276" w:lineRule="auto"/>
              <w:rPr>
                <w:bCs/>
                <w:sz w:val="4"/>
                <w:szCs w:val="4"/>
              </w:rPr>
            </w:pPr>
          </w:p>
        </w:tc>
        <w:tc>
          <w:tcPr>
            <w:tcW w:w="4675" w:type="dxa"/>
            <w:tcBorders>
              <w:top w:val="nil"/>
              <w:left w:val="nil"/>
              <w:right w:val="nil"/>
            </w:tcBorders>
            <w:vAlign w:val="bottom"/>
          </w:tcPr>
          <w:p w14:paraId="4391243B" w14:textId="77777777" w:rsidR="00DD7421" w:rsidRPr="0045244E" w:rsidRDefault="00DD7421" w:rsidP="001E3D9E">
            <w:pPr>
              <w:spacing w:line="276" w:lineRule="auto"/>
              <w:rPr>
                <w:bCs/>
                <w:i/>
                <w:iCs/>
                <w:sz w:val="4"/>
                <w:szCs w:val="4"/>
              </w:rPr>
            </w:pPr>
          </w:p>
        </w:tc>
      </w:tr>
      <w:tr w:rsidR="00DD7421" w:rsidRPr="0045244E" w14:paraId="4A5D665F" w14:textId="77777777" w:rsidTr="001E3D9E">
        <w:tc>
          <w:tcPr>
            <w:tcW w:w="4675" w:type="dxa"/>
            <w:vAlign w:val="bottom"/>
          </w:tcPr>
          <w:p w14:paraId="3ACD9FD8" w14:textId="77777777" w:rsidR="00DD7421" w:rsidRPr="0045244E" w:rsidRDefault="00DD7421" w:rsidP="001E3D9E">
            <w:pPr>
              <w:spacing w:line="276" w:lineRule="auto"/>
              <w:rPr>
                <w:bCs/>
                <w:szCs w:val="24"/>
              </w:rPr>
            </w:pPr>
          </w:p>
        </w:tc>
        <w:tc>
          <w:tcPr>
            <w:tcW w:w="4675" w:type="dxa"/>
            <w:tcBorders>
              <w:left w:val="nil"/>
              <w:bottom w:val="nil"/>
              <w:right w:val="nil"/>
            </w:tcBorders>
            <w:vAlign w:val="bottom"/>
            <w:hideMark/>
          </w:tcPr>
          <w:p w14:paraId="7D79F29D" w14:textId="32368D22" w:rsidR="00DD7421" w:rsidRPr="0045244E" w:rsidRDefault="00DD7421" w:rsidP="001E3D9E">
            <w:pPr>
              <w:rPr>
                <w:bCs/>
                <w:szCs w:val="24"/>
              </w:rPr>
            </w:pPr>
            <w:r w:rsidRPr="0045244E">
              <w:rPr>
                <w:bCs/>
                <w:szCs w:val="24"/>
              </w:rPr>
              <w:t>Kevin Tucker (He/Him) (PA 312144)</w:t>
            </w:r>
          </w:p>
        </w:tc>
      </w:tr>
      <w:tr w:rsidR="00DD7421" w:rsidRPr="0045244E" w14:paraId="31621382" w14:textId="77777777" w:rsidTr="001E3D9E">
        <w:tc>
          <w:tcPr>
            <w:tcW w:w="4675" w:type="dxa"/>
            <w:vAlign w:val="bottom"/>
          </w:tcPr>
          <w:p w14:paraId="7C2D35BB" w14:textId="77777777" w:rsidR="00DD7421" w:rsidRPr="0045244E" w:rsidRDefault="00DD7421" w:rsidP="001E3D9E">
            <w:pPr>
              <w:spacing w:line="276" w:lineRule="auto"/>
              <w:rPr>
                <w:bCs/>
                <w:szCs w:val="24"/>
              </w:rPr>
            </w:pPr>
          </w:p>
        </w:tc>
        <w:tc>
          <w:tcPr>
            <w:tcW w:w="4675" w:type="dxa"/>
            <w:vAlign w:val="bottom"/>
            <w:hideMark/>
          </w:tcPr>
          <w:p w14:paraId="6D73445C" w14:textId="17AC373F" w:rsidR="00DD7421" w:rsidRPr="0045244E" w:rsidRDefault="00DD7421" w:rsidP="001E3D9E">
            <w:pPr>
              <w:rPr>
                <w:bCs/>
                <w:szCs w:val="24"/>
              </w:rPr>
            </w:pPr>
            <w:r w:rsidRPr="0045244E">
              <w:rPr>
                <w:bCs/>
                <w:szCs w:val="24"/>
              </w:rPr>
              <w:t>Kevin Abramowicz (He/Him) (PA 320659)</w:t>
            </w:r>
          </w:p>
          <w:p w14:paraId="7A128052" w14:textId="77777777" w:rsidR="00DD7421" w:rsidRPr="0045244E" w:rsidRDefault="00DD7421" w:rsidP="001E3D9E">
            <w:pPr>
              <w:spacing w:line="276" w:lineRule="auto"/>
              <w:rPr>
                <w:bCs/>
                <w:lang w:val="es-ES"/>
              </w:rPr>
            </w:pPr>
            <w:r w:rsidRPr="0045244E">
              <w:rPr>
                <w:bCs/>
                <w:lang w:val="es-ES"/>
              </w:rPr>
              <w:t>Chandler Steiger (</w:t>
            </w:r>
            <w:proofErr w:type="spellStart"/>
            <w:r w:rsidRPr="0045244E">
              <w:rPr>
                <w:bCs/>
                <w:lang w:val="es-ES"/>
              </w:rPr>
              <w:t>She</w:t>
            </w:r>
            <w:proofErr w:type="spellEnd"/>
            <w:r w:rsidRPr="0045244E">
              <w:rPr>
                <w:bCs/>
                <w:lang w:val="es-ES"/>
              </w:rPr>
              <w:t>/</w:t>
            </w:r>
            <w:proofErr w:type="spellStart"/>
            <w:r w:rsidRPr="0045244E">
              <w:rPr>
                <w:bCs/>
                <w:lang w:val="es-ES"/>
              </w:rPr>
              <w:t>Her</w:t>
            </w:r>
            <w:proofErr w:type="spellEnd"/>
            <w:r w:rsidRPr="0045244E">
              <w:rPr>
                <w:bCs/>
                <w:lang w:val="es-ES"/>
              </w:rPr>
              <w:t>) (PA 328891)</w:t>
            </w:r>
          </w:p>
          <w:p w14:paraId="32D1B038" w14:textId="77777777" w:rsidR="00DD7421" w:rsidRPr="0045244E" w:rsidRDefault="00DD7421" w:rsidP="001E3D9E">
            <w:pPr>
              <w:rPr>
                <w:bCs/>
                <w:szCs w:val="24"/>
              </w:rPr>
            </w:pPr>
            <w:r w:rsidRPr="0045244E">
              <w:rPr>
                <w:bCs/>
                <w:lang w:val="es-ES"/>
              </w:rPr>
              <w:t>Stephanie Moore (</w:t>
            </w:r>
            <w:proofErr w:type="spellStart"/>
            <w:r w:rsidRPr="0045244E">
              <w:rPr>
                <w:bCs/>
                <w:lang w:val="es-ES"/>
              </w:rPr>
              <w:t>She</w:t>
            </w:r>
            <w:proofErr w:type="spellEnd"/>
            <w:r w:rsidRPr="0045244E">
              <w:rPr>
                <w:bCs/>
                <w:lang w:val="es-ES"/>
              </w:rPr>
              <w:t>/</w:t>
            </w:r>
            <w:proofErr w:type="spellStart"/>
            <w:r w:rsidRPr="0045244E">
              <w:rPr>
                <w:bCs/>
                <w:lang w:val="es-ES"/>
              </w:rPr>
              <w:t>Her</w:t>
            </w:r>
            <w:proofErr w:type="spellEnd"/>
            <w:r w:rsidRPr="0045244E">
              <w:rPr>
                <w:bCs/>
                <w:lang w:val="es-ES"/>
              </w:rPr>
              <w:t>) (PA 329447)</w:t>
            </w:r>
          </w:p>
        </w:tc>
      </w:tr>
      <w:tr w:rsidR="00DD7421" w:rsidRPr="0045244E" w14:paraId="2FCA5256" w14:textId="77777777" w:rsidTr="001E3D9E">
        <w:tc>
          <w:tcPr>
            <w:tcW w:w="4675" w:type="dxa"/>
            <w:vAlign w:val="bottom"/>
          </w:tcPr>
          <w:p w14:paraId="1A9340CA" w14:textId="77777777" w:rsidR="00DD7421" w:rsidRPr="0045244E" w:rsidRDefault="00DD7421" w:rsidP="001E3D9E">
            <w:pPr>
              <w:spacing w:line="276" w:lineRule="auto"/>
              <w:rPr>
                <w:bCs/>
                <w:szCs w:val="24"/>
              </w:rPr>
            </w:pPr>
          </w:p>
        </w:tc>
        <w:tc>
          <w:tcPr>
            <w:tcW w:w="4675" w:type="dxa"/>
            <w:vAlign w:val="bottom"/>
            <w:hideMark/>
          </w:tcPr>
          <w:p w14:paraId="1E2941B4" w14:textId="77777777" w:rsidR="00DD7421" w:rsidRPr="0045244E" w:rsidRDefault="00DD7421" w:rsidP="001E3D9E">
            <w:pPr>
              <w:rPr>
                <w:b/>
                <w:szCs w:val="24"/>
              </w:rPr>
            </w:pPr>
            <w:r w:rsidRPr="0045244E">
              <w:rPr>
                <w:b/>
                <w:szCs w:val="24"/>
              </w:rPr>
              <w:t>EAST END TRIAL GROUP LLC</w:t>
            </w:r>
          </w:p>
        </w:tc>
      </w:tr>
      <w:tr w:rsidR="00DD7421" w:rsidRPr="0045244E" w14:paraId="0D7F8400" w14:textId="77777777" w:rsidTr="001E3D9E">
        <w:tc>
          <w:tcPr>
            <w:tcW w:w="4675" w:type="dxa"/>
            <w:vAlign w:val="bottom"/>
          </w:tcPr>
          <w:p w14:paraId="7FC56CB4" w14:textId="77777777" w:rsidR="00DD7421" w:rsidRPr="0045244E" w:rsidRDefault="00DD7421" w:rsidP="001E3D9E">
            <w:pPr>
              <w:spacing w:line="276" w:lineRule="auto"/>
              <w:rPr>
                <w:bCs/>
                <w:szCs w:val="24"/>
              </w:rPr>
            </w:pPr>
          </w:p>
        </w:tc>
        <w:tc>
          <w:tcPr>
            <w:tcW w:w="4675" w:type="dxa"/>
            <w:vAlign w:val="bottom"/>
            <w:hideMark/>
          </w:tcPr>
          <w:p w14:paraId="53E82FD3" w14:textId="77777777" w:rsidR="00DD7421" w:rsidRPr="0045244E" w:rsidRDefault="00DD7421" w:rsidP="001E3D9E">
            <w:pPr>
              <w:rPr>
                <w:bCs/>
                <w:szCs w:val="24"/>
              </w:rPr>
            </w:pPr>
            <w:r w:rsidRPr="0045244E">
              <w:rPr>
                <w:bCs/>
                <w:szCs w:val="24"/>
              </w:rPr>
              <w:t>6901 Lynn Way, Suite 215</w:t>
            </w:r>
          </w:p>
        </w:tc>
      </w:tr>
      <w:tr w:rsidR="00DD7421" w:rsidRPr="0045244E" w14:paraId="55B010DC" w14:textId="77777777" w:rsidTr="001E3D9E">
        <w:tc>
          <w:tcPr>
            <w:tcW w:w="4675" w:type="dxa"/>
            <w:vAlign w:val="bottom"/>
          </w:tcPr>
          <w:p w14:paraId="6FF7BF60" w14:textId="77777777" w:rsidR="00DD7421" w:rsidRPr="0045244E" w:rsidRDefault="00DD7421" w:rsidP="001E3D9E">
            <w:pPr>
              <w:spacing w:line="276" w:lineRule="auto"/>
              <w:rPr>
                <w:bCs/>
                <w:szCs w:val="24"/>
              </w:rPr>
            </w:pPr>
          </w:p>
        </w:tc>
        <w:tc>
          <w:tcPr>
            <w:tcW w:w="4675" w:type="dxa"/>
            <w:vAlign w:val="bottom"/>
            <w:hideMark/>
          </w:tcPr>
          <w:p w14:paraId="0E75BBBE" w14:textId="77777777" w:rsidR="00DD7421" w:rsidRPr="0045244E" w:rsidRDefault="00DD7421" w:rsidP="001E3D9E">
            <w:pPr>
              <w:rPr>
                <w:bCs/>
                <w:szCs w:val="24"/>
              </w:rPr>
            </w:pPr>
            <w:r w:rsidRPr="0045244E">
              <w:rPr>
                <w:bCs/>
                <w:szCs w:val="24"/>
              </w:rPr>
              <w:t>Pittsburgh, PA 15208</w:t>
            </w:r>
          </w:p>
        </w:tc>
      </w:tr>
      <w:tr w:rsidR="00DD7421" w:rsidRPr="0045244E" w14:paraId="6E45484E" w14:textId="77777777" w:rsidTr="001E3D9E">
        <w:tc>
          <w:tcPr>
            <w:tcW w:w="4675" w:type="dxa"/>
            <w:vAlign w:val="bottom"/>
          </w:tcPr>
          <w:p w14:paraId="5E83A189" w14:textId="77777777" w:rsidR="00DD7421" w:rsidRPr="0045244E" w:rsidRDefault="00DD7421" w:rsidP="001E3D9E">
            <w:pPr>
              <w:spacing w:line="276" w:lineRule="auto"/>
              <w:rPr>
                <w:bCs/>
                <w:szCs w:val="24"/>
              </w:rPr>
            </w:pPr>
          </w:p>
        </w:tc>
        <w:tc>
          <w:tcPr>
            <w:tcW w:w="4675" w:type="dxa"/>
            <w:vAlign w:val="bottom"/>
            <w:hideMark/>
          </w:tcPr>
          <w:p w14:paraId="00F97152" w14:textId="77777777" w:rsidR="00DD7421" w:rsidRDefault="00DD7421" w:rsidP="001E3D9E">
            <w:pPr>
              <w:rPr>
                <w:bCs/>
                <w:szCs w:val="24"/>
              </w:rPr>
            </w:pPr>
            <w:r w:rsidRPr="0045244E">
              <w:rPr>
                <w:bCs/>
                <w:szCs w:val="24"/>
              </w:rPr>
              <w:t>Tel. (412) 877-5220</w:t>
            </w:r>
          </w:p>
          <w:p w14:paraId="7AD8E7E5" w14:textId="789F034C" w:rsidR="006635AB" w:rsidRPr="0045244E" w:rsidRDefault="00B05165" w:rsidP="001E3D9E">
            <w:pPr>
              <w:rPr>
                <w:bCs/>
                <w:szCs w:val="24"/>
              </w:rPr>
            </w:pPr>
            <w:hyperlink r:id="rId8" w:history="1">
              <w:r w:rsidR="006635AB" w:rsidRPr="001D0427">
                <w:rPr>
                  <w:rStyle w:val="Hyperlink"/>
                  <w:bCs/>
                  <w:szCs w:val="24"/>
                </w:rPr>
                <w:t>https://www.eastendtrialgroup.com/</w:t>
              </w:r>
            </w:hyperlink>
            <w:r w:rsidR="006635AB">
              <w:rPr>
                <w:bCs/>
                <w:szCs w:val="24"/>
              </w:rPr>
              <w:t xml:space="preserve"> </w:t>
            </w:r>
          </w:p>
        </w:tc>
      </w:tr>
      <w:tr w:rsidR="00DD7421" w:rsidRPr="0045244E" w14:paraId="1ABE0F85" w14:textId="77777777" w:rsidTr="001E3D9E">
        <w:tc>
          <w:tcPr>
            <w:tcW w:w="4675" w:type="dxa"/>
            <w:vAlign w:val="bottom"/>
          </w:tcPr>
          <w:p w14:paraId="72F3CBF3" w14:textId="77777777" w:rsidR="00DD7421" w:rsidRPr="0045244E" w:rsidRDefault="00DD7421" w:rsidP="001E3D9E">
            <w:pPr>
              <w:spacing w:line="276" w:lineRule="auto"/>
              <w:rPr>
                <w:bCs/>
                <w:szCs w:val="24"/>
              </w:rPr>
            </w:pPr>
          </w:p>
        </w:tc>
        <w:tc>
          <w:tcPr>
            <w:tcW w:w="4675" w:type="dxa"/>
            <w:vAlign w:val="bottom"/>
            <w:hideMark/>
          </w:tcPr>
          <w:p w14:paraId="0DE40D9C" w14:textId="77777777" w:rsidR="00DD7421" w:rsidRPr="0045244E" w:rsidRDefault="00DD7421" w:rsidP="001E3D9E">
            <w:pPr>
              <w:rPr>
                <w:bCs/>
                <w:szCs w:val="24"/>
              </w:rPr>
            </w:pPr>
            <w:r w:rsidRPr="0045244E">
              <w:rPr>
                <w:bCs/>
                <w:szCs w:val="24"/>
              </w:rPr>
              <w:t>ktucker@eastendtrialgroup.com</w:t>
            </w:r>
          </w:p>
          <w:p w14:paraId="00EAD58B" w14:textId="77777777" w:rsidR="00DD7421" w:rsidRPr="0045244E" w:rsidRDefault="00DD7421" w:rsidP="001E3D9E">
            <w:pPr>
              <w:rPr>
                <w:bCs/>
                <w:szCs w:val="24"/>
              </w:rPr>
            </w:pPr>
            <w:r w:rsidRPr="0045244E">
              <w:rPr>
                <w:bCs/>
                <w:szCs w:val="24"/>
              </w:rPr>
              <w:t>kabramowicz@eastendtrialgroup.com</w:t>
            </w:r>
          </w:p>
          <w:p w14:paraId="4C0EEDFE" w14:textId="77777777" w:rsidR="00DD7421" w:rsidRPr="0045244E" w:rsidRDefault="00DD7421" w:rsidP="001E3D9E">
            <w:pPr>
              <w:rPr>
                <w:bCs/>
                <w:szCs w:val="24"/>
              </w:rPr>
            </w:pPr>
            <w:r w:rsidRPr="0045244E">
              <w:rPr>
                <w:bCs/>
                <w:szCs w:val="24"/>
              </w:rPr>
              <w:t>csteiger@eastendtrialgroup.com</w:t>
            </w:r>
          </w:p>
          <w:p w14:paraId="73CD0176" w14:textId="77777777" w:rsidR="00DD7421" w:rsidRPr="0045244E" w:rsidRDefault="00DD7421" w:rsidP="001E3D9E">
            <w:pPr>
              <w:rPr>
                <w:bCs/>
                <w:szCs w:val="24"/>
              </w:rPr>
            </w:pPr>
            <w:r w:rsidRPr="0045244E">
              <w:rPr>
                <w:bCs/>
                <w:szCs w:val="24"/>
              </w:rPr>
              <w:t>smoore@eastendtrialgroup.com</w:t>
            </w:r>
          </w:p>
        </w:tc>
      </w:tr>
    </w:tbl>
    <w:p w14:paraId="2B3F501A" w14:textId="5BD3242C" w:rsidR="00DD7421" w:rsidRPr="00662BD5" w:rsidRDefault="00DD7421" w:rsidP="00A40C0F">
      <w:pPr>
        <w:rPr>
          <w:szCs w:val="24"/>
          <w:highlight w:val="yellow"/>
        </w:rPr>
        <w:sectPr w:rsidR="00DD7421" w:rsidRPr="00662BD5" w:rsidSect="00E01193">
          <w:footerReference w:type="default" r:id="rId9"/>
          <w:pgSz w:w="12240" w:h="15840"/>
          <w:pgMar w:top="1440" w:right="1440" w:bottom="1440" w:left="1440" w:header="720" w:footer="720" w:gutter="0"/>
          <w:pgNumType w:fmt="lowerRoman"/>
          <w:cols w:space="720"/>
          <w:titlePg/>
          <w:docGrid w:linePitch="360"/>
        </w:sectPr>
      </w:pPr>
    </w:p>
    <w:p w14:paraId="0F6A1F1F" w14:textId="18EFF5F0" w:rsidR="00CE4A1C" w:rsidRPr="004E34D1" w:rsidRDefault="00CE4A1C" w:rsidP="0085551D">
      <w:pPr>
        <w:spacing w:after="240"/>
        <w:jc w:val="center"/>
        <w:rPr>
          <w:szCs w:val="24"/>
        </w:rPr>
      </w:pPr>
      <w:bookmarkStart w:id="2" w:name="_Hlk114555398"/>
      <w:r w:rsidRPr="004E34D1">
        <w:rPr>
          <w:b/>
          <w:bCs/>
          <w:szCs w:val="24"/>
          <w:u w:val="single"/>
        </w:rPr>
        <w:lastRenderedPageBreak/>
        <w:t>TABLE OF CONTENTS</w:t>
      </w:r>
      <w:bookmarkEnd w:id="2"/>
    </w:p>
    <w:p w14:paraId="3FB15E4D" w14:textId="77777777" w:rsidR="001A3A89" w:rsidRPr="004E34D1" w:rsidRDefault="001A3A89" w:rsidP="001A3A89">
      <w:pPr>
        <w:numPr>
          <w:ilvl w:val="0"/>
          <w:numId w:val="1"/>
        </w:numPr>
        <w:tabs>
          <w:tab w:val="right" w:leader="dot" w:pos="9346"/>
        </w:tabs>
        <w:spacing w:after="240"/>
        <w:ind w:hanging="720"/>
        <w:jc w:val="both"/>
        <w:rPr>
          <w:szCs w:val="24"/>
        </w:rPr>
      </w:pPr>
      <w:r w:rsidRPr="004E34D1">
        <w:rPr>
          <w:szCs w:val="24"/>
        </w:rPr>
        <w:t xml:space="preserve">INTRODUCTION </w:t>
      </w:r>
      <w:r w:rsidRPr="004E34D1">
        <w:rPr>
          <w:szCs w:val="24"/>
        </w:rPr>
        <w:tab/>
        <w:t xml:space="preserve"> 1</w:t>
      </w:r>
    </w:p>
    <w:p w14:paraId="127B8026" w14:textId="77777777" w:rsidR="001A3A89" w:rsidRPr="004E34D1" w:rsidRDefault="001A3A89" w:rsidP="001A3A89">
      <w:pPr>
        <w:numPr>
          <w:ilvl w:val="0"/>
          <w:numId w:val="1"/>
        </w:numPr>
        <w:tabs>
          <w:tab w:val="right" w:leader="dot" w:pos="9346"/>
        </w:tabs>
        <w:spacing w:after="240"/>
        <w:ind w:hanging="720"/>
        <w:jc w:val="both"/>
        <w:rPr>
          <w:szCs w:val="24"/>
        </w:rPr>
      </w:pPr>
      <w:r w:rsidRPr="004E34D1">
        <w:rPr>
          <w:szCs w:val="24"/>
        </w:rPr>
        <w:t xml:space="preserve">HISTORY OF THE LITIGATION </w:t>
      </w:r>
      <w:r w:rsidRPr="004E34D1">
        <w:rPr>
          <w:szCs w:val="24"/>
        </w:rPr>
        <w:tab/>
        <w:t xml:space="preserve"> 1</w:t>
      </w:r>
    </w:p>
    <w:p w14:paraId="26EFF2EB" w14:textId="77777777" w:rsidR="001A3A89" w:rsidRPr="004E34D1" w:rsidRDefault="001A3A89" w:rsidP="001A3A89">
      <w:pPr>
        <w:numPr>
          <w:ilvl w:val="0"/>
          <w:numId w:val="1"/>
        </w:numPr>
        <w:tabs>
          <w:tab w:val="right" w:leader="dot" w:pos="9346"/>
        </w:tabs>
        <w:spacing w:after="240"/>
        <w:ind w:hanging="720"/>
        <w:jc w:val="both"/>
        <w:rPr>
          <w:szCs w:val="24"/>
        </w:rPr>
      </w:pPr>
      <w:r w:rsidRPr="004E34D1">
        <w:rPr>
          <w:szCs w:val="24"/>
        </w:rPr>
        <w:t xml:space="preserve">SUMMARY OF THE AGREEMENT </w:t>
      </w:r>
      <w:r w:rsidRPr="004E34D1">
        <w:rPr>
          <w:szCs w:val="24"/>
        </w:rPr>
        <w:tab/>
        <w:t xml:space="preserve"> 2</w:t>
      </w:r>
    </w:p>
    <w:p w14:paraId="5E46F54A" w14:textId="77777777" w:rsidR="001A3A89" w:rsidRPr="004E34D1" w:rsidRDefault="001A3A89" w:rsidP="001A3A89">
      <w:pPr>
        <w:numPr>
          <w:ilvl w:val="1"/>
          <w:numId w:val="1"/>
        </w:numPr>
        <w:tabs>
          <w:tab w:val="right" w:leader="dot" w:pos="9346"/>
        </w:tabs>
        <w:spacing w:after="240"/>
        <w:ind w:hanging="720"/>
        <w:rPr>
          <w:szCs w:val="24"/>
        </w:rPr>
      </w:pPr>
      <w:r w:rsidRPr="004E34D1">
        <w:rPr>
          <w:iCs/>
          <w:szCs w:val="24"/>
        </w:rPr>
        <w:t xml:space="preserve">Key Terms Used In The Agreement </w:t>
      </w:r>
      <w:r w:rsidRPr="004E34D1">
        <w:rPr>
          <w:szCs w:val="24"/>
        </w:rPr>
        <w:tab/>
        <w:t xml:space="preserve"> 2</w:t>
      </w:r>
    </w:p>
    <w:p w14:paraId="633D0281" w14:textId="77777777" w:rsidR="001A3A89" w:rsidRPr="007E4527" w:rsidRDefault="001A3A89" w:rsidP="001A3A89">
      <w:pPr>
        <w:numPr>
          <w:ilvl w:val="1"/>
          <w:numId w:val="1"/>
        </w:numPr>
        <w:tabs>
          <w:tab w:val="right" w:leader="dot" w:pos="9346"/>
        </w:tabs>
        <w:spacing w:after="240"/>
        <w:ind w:hanging="720"/>
        <w:rPr>
          <w:szCs w:val="24"/>
        </w:rPr>
      </w:pPr>
      <w:r w:rsidRPr="007E4527">
        <w:rPr>
          <w:szCs w:val="24"/>
        </w:rPr>
        <w:t xml:space="preserve">Content Covered By The Agreement </w:t>
      </w:r>
      <w:r w:rsidRPr="007E4527">
        <w:rPr>
          <w:szCs w:val="24"/>
        </w:rPr>
        <w:tab/>
        <w:t xml:space="preserve"> 3</w:t>
      </w:r>
    </w:p>
    <w:p w14:paraId="3695FAE9" w14:textId="77777777" w:rsidR="001A3A89" w:rsidRPr="00274C0B" w:rsidRDefault="001A3A89" w:rsidP="001A3A89">
      <w:pPr>
        <w:numPr>
          <w:ilvl w:val="1"/>
          <w:numId w:val="1"/>
        </w:numPr>
        <w:tabs>
          <w:tab w:val="right" w:leader="dot" w:pos="9346"/>
        </w:tabs>
        <w:spacing w:after="240"/>
        <w:ind w:hanging="720"/>
        <w:rPr>
          <w:szCs w:val="24"/>
        </w:rPr>
      </w:pPr>
      <w:r w:rsidRPr="007E4527">
        <w:rPr>
          <w:iCs/>
          <w:szCs w:val="24"/>
        </w:rPr>
        <w:t xml:space="preserve">Remediation </w:t>
      </w:r>
      <w:r w:rsidRPr="00274C0B">
        <w:rPr>
          <w:iCs/>
          <w:szCs w:val="24"/>
        </w:rPr>
        <w:t xml:space="preserve">Timeline </w:t>
      </w:r>
      <w:r w:rsidRPr="00274C0B">
        <w:rPr>
          <w:iCs/>
          <w:szCs w:val="24"/>
        </w:rPr>
        <w:tab/>
        <w:t xml:space="preserve"> 3</w:t>
      </w:r>
    </w:p>
    <w:p w14:paraId="32C793A3" w14:textId="77777777" w:rsidR="001A3A89" w:rsidRPr="00274C0B" w:rsidRDefault="001A3A89" w:rsidP="001A3A89">
      <w:pPr>
        <w:numPr>
          <w:ilvl w:val="1"/>
          <w:numId w:val="1"/>
        </w:numPr>
        <w:tabs>
          <w:tab w:val="right" w:leader="dot" w:pos="9346"/>
        </w:tabs>
        <w:spacing w:after="240"/>
        <w:ind w:hanging="720"/>
        <w:rPr>
          <w:szCs w:val="24"/>
        </w:rPr>
      </w:pPr>
      <w:r w:rsidRPr="00274C0B">
        <w:rPr>
          <w:szCs w:val="24"/>
        </w:rPr>
        <w:t xml:space="preserve">Enjoining Settlement Class Members From Asserting Released Claims </w:t>
      </w:r>
      <w:r w:rsidRPr="00274C0B">
        <w:rPr>
          <w:szCs w:val="24"/>
        </w:rPr>
        <w:tab/>
        <w:t xml:space="preserve"> 4</w:t>
      </w:r>
    </w:p>
    <w:p w14:paraId="2D77A9A2" w14:textId="77777777" w:rsidR="001A3A89" w:rsidRPr="00274C0B" w:rsidRDefault="001A3A89" w:rsidP="001A3A89">
      <w:pPr>
        <w:numPr>
          <w:ilvl w:val="1"/>
          <w:numId w:val="1"/>
        </w:numPr>
        <w:tabs>
          <w:tab w:val="right" w:leader="dot" w:pos="9346"/>
        </w:tabs>
        <w:spacing w:after="240"/>
        <w:ind w:hanging="720"/>
        <w:rPr>
          <w:szCs w:val="24"/>
        </w:rPr>
      </w:pPr>
      <w:r w:rsidRPr="00274C0B">
        <w:rPr>
          <w:szCs w:val="24"/>
        </w:rPr>
        <w:t xml:space="preserve">Additional Obligations Of The Parties </w:t>
      </w:r>
      <w:r w:rsidRPr="00274C0B">
        <w:rPr>
          <w:szCs w:val="24"/>
        </w:rPr>
        <w:tab/>
        <w:t xml:space="preserve"> 6</w:t>
      </w:r>
    </w:p>
    <w:p w14:paraId="62B38863" w14:textId="77777777" w:rsidR="001A3A89" w:rsidRPr="00274C0B" w:rsidRDefault="001A3A89" w:rsidP="001A3A89">
      <w:pPr>
        <w:numPr>
          <w:ilvl w:val="2"/>
          <w:numId w:val="1"/>
        </w:numPr>
        <w:tabs>
          <w:tab w:val="right" w:leader="dot" w:pos="9346"/>
        </w:tabs>
        <w:spacing w:after="240"/>
        <w:ind w:hanging="720"/>
        <w:rPr>
          <w:szCs w:val="24"/>
        </w:rPr>
      </w:pPr>
      <w:r w:rsidRPr="00274C0B">
        <w:rPr>
          <w:szCs w:val="24"/>
        </w:rPr>
        <w:t xml:space="preserve">Accessibility Training </w:t>
      </w:r>
      <w:r w:rsidRPr="00274C0B">
        <w:rPr>
          <w:szCs w:val="24"/>
        </w:rPr>
        <w:tab/>
        <w:t xml:space="preserve"> 6</w:t>
      </w:r>
    </w:p>
    <w:p w14:paraId="1C842452" w14:textId="77777777" w:rsidR="001A3A89" w:rsidRPr="00010273" w:rsidRDefault="001A3A89" w:rsidP="001A3A89">
      <w:pPr>
        <w:numPr>
          <w:ilvl w:val="2"/>
          <w:numId w:val="1"/>
        </w:numPr>
        <w:tabs>
          <w:tab w:val="right" w:leader="dot" w:pos="9346"/>
        </w:tabs>
        <w:spacing w:after="240"/>
        <w:ind w:hanging="720"/>
        <w:rPr>
          <w:szCs w:val="24"/>
        </w:rPr>
      </w:pPr>
      <w:r w:rsidRPr="00274C0B">
        <w:rPr>
          <w:szCs w:val="24"/>
        </w:rPr>
        <w:t xml:space="preserve">Defendant’s Reporting Obligations </w:t>
      </w:r>
      <w:r w:rsidRPr="00274C0B">
        <w:rPr>
          <w:szCs w:val="24"/>
        </w:rPr>
        <w:tab/>
        <w:t xml:space="preserve"> </w:t>
      </w:r>
      <w:r w:rsidRPr="00010273">
        <w:rPr>
          <w:szCs w:val="24"/>
        </w:rPr>
        <w:t>6</w:t>
      </w:r>
    </w:p>
    <w:p w14:paraId="147215EA" w14:textId="77777777" w:rsidR="001A3A89" w:rsidRPr="00A40D57" w:rsidRDefault="001A3A89" w:rsidP="001A3A89">
      <w:pPr>
        <w:numPr>
          <w:ilvl w:val="2"/>
          <w:numId w:val="1"/>
        </w:numPr>
        <w:tabs>
          <w:tab w:val="right" w:leader="dot" w:pos="9346"/>
        </w:tabs>
        <w:spacing w:after="240"/>
        <w:ind w:hanging="720"/>
        <w:rPr>
          <w:szCs w:val="24"/>
        </w:rPr>
      </w:pPr>
      <w:r w:rsidRPr="00010273">
        <w:rPr>
          <w:szCs w:val="24"/>
        </w:rPr>
        <w:t xml:space="preserve">Plaintiff’s Compliance </w:t>
      </w:r>
      <w:r w:rsidRPr="00ED43A8">
        <w:rPr>
          <w:szCs w:val="24"/>
        </w:rPr>
        <w:t xml:space="preserve">Monitoring Obligations </w:t>
      </w:r>
      <w:r w:rsidRPr="00ED43A8">
        <w:rPr>
          <w:szCs w:val="24"/>
        </w:rPr>
        <w:tab/>
        <w:t xml:space="preserve"> </w:t>
      </w:r>
      <w:r w:rsidRPr="00A40D57">
        <w:rPr>
          <w:szCs w:val="24"/>
        </w:rPr>
        <w:t>7</w:t>
      </w:r>
    </w:p>
    <w:p w14:paraId="77BF675B" w14:textId="77777777" w:rsidR="001A3A89" w:rsidRPr="00A40D57" w:rsidRDefault="001A3A89" w:rsidP="001A3A89">
      <w:pPr>
        <w:numPr>
          <w:ilvl w:val="2"/>
          <w:numId w:val="1"/>
        </w:numPr>
        <w:tabs>
          <w:tab w:val="right" w:leader="dot" w:pos="9346"/>
        </w:tabs>
        <w:spacing w:after="240"/>
        <w:ind w:hanging="720"/>
        <w:rPr>
          <w:szCs w:val="24"/>
        </w:rPr>
      </w:pPr>
      <w:r w:rsidRPr="00A40D57">
        <w:rPr>
          <w:szCs w:val="24"/>
        </w:rPr>
        <w:t xml:space="preserve">Enforcement And Dispute Resolution </w:t>
      </w:r>
      <w:r w:rsidRPr="00A40D57">
        <w:rPr>
          <w:szCs w:val="24"/>
        </w:rPr>
        <w:tab/>
        <w:t xml:space="preserve"> 8</w:t>
      </w:r>
    </w:p>
    <w:p w14:paraId="04ECF47D" w14:textId="77777777" w:rsidR="001A3A89" w:rsidRPr="009171A0" w:rsidRDefault="001A3A89" w:rsidP="001A3A89">
      <w:pPr>
        <w:numPr>
          <w:ilvl w:val="1"/>
          <w:numId w:val="1"/>
        </w:numPr>
        <w:tabs>
          <w:tab w:val="right" w:leader="dot" w:pos="9346"/>
        </w:tabs>
        <w:spacing w:after="240"/>
        <w:ind w:hanging="720"/>
        <w:rPr>
          <w:szCs w:val="24"/>
        </w:rPr>
      </w:pPr>
      <w:r w:rsidRPr="00A40D57">
        <w:rPr>
          <w:szCs w:val="24"/>
        </w:rPr>
        <w:t xml:space="preserve">Incentive Award For </w:t>
      </w:r>
      <w:r w:rsidRPr="009171A0">
        <w:rPr>
          <w:szCs w:val="24"/>
        </w:rPr>
        <w:t xml:space="preserve">Plaintiff </w:t>
      </w:r>
      <w:r w:rsidRPr="009171A0">
        <w:rPr>
          <w:szCs w:val="24"/>
        </w:rPr>
        <w:tab/>
        <w:t xml:space="preserve"> 8</w:t>
      </w:r>
    </w:p>
    <w:p w14:paraId="116C1E94" w14:textId="77777777" w:rsidR="001A3A89" w:rsidRPr="004922ED" w:rsidRDefault="001A3A89" w:rsidP="001A3A89">
      <w:pPr>
        <w:numPr>
          <w:ilvl w:val="1"/>
          <w:numId w:val="1"/>
        </w:numPr>
        <w:tabs>
          <w:tab w:val="right" w:leader="dot" w:pos="9346"/>
        </w:tabs>
        <w:spacing w:after="240"/>
        <w:ind w:hanging="720"/>
        <w:rPr>
          <w:szCs w:val="24"/>
        </w:rPr>
      </w:pPr>
      <w:r w:rsidRPr="009171A0">
        <w:rPr>
          <w:szCs w:val="24"/>
        </w:rPr>
        <w:t xml:space="preserve">Attorneys’ Fees And </w:t>
      </w:r>
      <w:r w:rsidRPr="004922ED">
        <w:rPr>
          <w:szCs w:val="24"/>
        </w:rPr>
        <w:t xml:space="preserve">Costs </w:t>
      </w:r>
      <w:r w:rsidRPr="004922ED">
        <w:rPr>
          <w:szCs w:val="24"/>
        </w:rPr>
        <w:tab/>
        <w:t xml:space="preserve"> 8</w:t>
      </w:r>
    </w:p>
    <w:p w14:paraId="7BDDCBF5" w14:textId="77777777" w:rsidR="001A3A89" w:rsidRPr="003648C9" w:rsidRDefault="001A3A89" w:rsidP="001A3A89">
      <w:pPr>
        <w:numPr>
          <w:ilvl w:val="0"/>
          <w:numId w:val="1"/>
        </w:numPr>
        <w:tabs>
          <w:tab w:val="right" w:leader="dot" w:pos="9346"/>
        </w:tabs>
        <w:spacing w:after="240"/>
        <w:ind w:hanging="720"/>
        <w:jc w:val="both"/>
        <w:rPr>
          <w:szCs w:val="24"/>
        </w:rPr>
      </w:pPr>
      <w:r w:rsidRPr="004922ED">
        <w:rPr>
          <w:szCs w:val="24"/>
        </w:rPr>
        <w:t xml:space="preserve">LEGAL STANDARD </w:t>
      </w:r>
      <w:r w:rsidRPr="004922ED">
        <w:rPr>
          <w:szCs w:val="24"/>
        </w:rPr>
        <w:tab/>
        <w:t xml:space="preserve"> </w:t>
      </w:r>
      <w:r w:rsidRPr="003648C9">
        <w:rPr>
          <w:szCs w:val="24"/>
        </w:rPr>
        <w:t>8</w:t>
      </w:r>
    </w:p>
    <w:p w14:paraId="06E67F0D" w14:textId="77777777" w:rsidR="001A3A89" w:rsidRPr="003648C9" w:rsidRDefault="001A3A89" w:rsidP="001A3A89">
      <w:pPr>
        <w:numPr>
          <w:ilvl w:val="0"/>
          <w:numId w:val="1"/>
        </w:numPr>
        <w:tabs>
          <w:tab w:val="right" w:leader="dot" w:pos="9346"/>
        </w:tabs>
        <w:spacing w:after="240"/>
        <w:ind w:hanging="720"/>
        <w:jc w:val="both"/>
        <w:rPr>
          <w:szCs w:val="24"/>
        </w:rPr>
      </w:pPr>
      <w:r w:rsidRPr="003648C9">
        <w:rPr>
          <w:szCs w:val="24"/>
        </w:rPr>
        <w:t xml:space="preserve">ARGUMENT </w:t>
      </w:r>
      <w:r w:rsidRPr="003648C9">
        <w:rPr>
          <w:szCs w:val="24"/>
        </w:rPr>
        <w:tab/>
        <w:t xml:space="preserve"> 9</w:t>
      </w:r>
    </w:p>
    <w:p w14:paraId="53A4D1BD" w14:textId="77777777" w:rsidR="001A3A89" w:rsidRPr="002744DB" w:rsidRDefault="001A3A89" w:rsidP="001A3A89">
      <w:pPr>
        <w:numPr>
          <w:ilvl w:val="1"/>
          <w:numId w:val="1"/>
        </w:numPr>
        <w:tabs>
          <w:tab w:val="right" w:leader="dot" w:pos="9346"/>
        </w:tabs>
        <w:spacing w:after="240"/>
        <w:ind w:hanging="720"/>
        <w:rPr>
          <w:szCs w:val="24"/>
        </w:rPr>
      </w:pPr>
      <w:r w:rsidRPr="003648C9">
        <w:rPr>
          <w:szCs w:val="24"/>
        </w:rPr>
        <w:t xml:space="preserve">The Court Should Certify The Class For </w:t>
      </w:r>
      <w:r w:rsidRPr="002744DB">
        <w:rPr>
          <w:szCs w:val="24"/>
        </w:rPr>
        <w:t xml:space="preserve">Settlement Purposes </w:t>
      </w:r>
      <w:r w:rsidRPr="002744DB">
        <w:rPr>
          <w:szCs w:val="24"/>
        </w:rPr>
        <w:tab/>
        <w:t xml:space="preserve"> 9</w:t>
      </w:r>
    </w:p>
    <w:p w14:paraId="750F2C74" w14:textId="77777777" w:rsidR="001A3A89" w:rsidRPr="002D06DD" w:rsidRDefault="001A3A89" w:rsidP="001A3A89">
      <w:pPr>
        <w:numPr>
          <w:ilvl w:val="2"/>
          <w:numId w:val="1"/>
        </w:numPr>
        <w:tabs>
          <w:tab w:val="right" w:leader="dot" w:pos="9346"/>
        </w:tabs>
        <w:spacing w:after="240"/>
        <w:ind w:hanging="720"/>
        <w:rPr>
          <w:szCs w:val="24"/>
        </w:rPr>
      </w:pPr>
      <w:r w:rsidRPr="002744DB">
        <w:rPr>
          <w:szCs w:val="24"/>
        </w:rPr>
        <w:t xml:space="preserve">Plaintiff Satisfies The Requirements Of Rule 23(a) </w:t>
      </w:r>
      <w:r w:rsidRPr="002744DB">
        <w:rPr>
          <w:szCs w:val="24"/>
        </w:rPr>
        <w:tab/>
        <w:t xml:space="preserve"> </w:t>
      </w:r>
      <w:r w:rsidRPr="002D06DD">
        <w:rPr>
          <w:szCs w:val="24"/>
        </w:rPr>
        <w:t>9</w:t>
      </w:r>
    </w:p>
    <w:p w14:paraId="62295473" w14:textId="77777777" w:rsidR="001A3A89" w:rsidRPr="003B6253" w:rsidRDefault="001A3A89" w:rsidP="001A3A89">
      <w:pPr>
        <w:numPr>
          <w:ilvl w:val="3"/>
          <w:numId w:val="1"/>
        </w:numPr>
        <w:tabs>
          <w:tab w:val="right" w:leader="dot" w:pos="9346"/>
        </w:tabs>
        <w:spacing w:after="240"/>
        <w:ind w:hanging="720"/>
        <w:rPr>
          <w:szCs w:val="24"/>
        </w:rPr>
      </w:pPr>
      <w:r w:rsidRPr="003B6253">
        <w:rPr>
          <w:szCs w:val="24"/>
        </w:rPr>
        <w:t xml:space="preserve">Numerosity </w:t>
      </w:r>
      <w:r w:rsidRPr="003B6253">
        <w:rPr>
          <w:szCs w:val="24"/>
        </w:rPr>
        <w:tab/>
        <w:t xml:space="preserve"> 9</w:t>
      </w:r>
    </w:p>
    <w:p w14:paraId="6699B8C9" w14:textId="77777777" w:rsidR="001A3A89" w:rsidRPr="003B6253" w:rsidRDefault="001A3A89" w:rsidP="001A3A89">
      <w:pPr>
        <w:numPr>
          <w:ilvl w:val="3"/>
          <w:numId w:val="1"/>
        </w:numPr>
        <w:tabs>
          <w:tab w:val="right" w:leader="dot" w:pos="9346"/>
        </w:tabs>
        <w:spacing w:after="240"/>
        <w:ind w:hanging="720"/>
        <w:rPr>
          <w:szCs w:val="24"/>
        </w:rPr>
      </w:pPr>
      <w:r w:rsidRPr="003B6253">
        <w:rPr>
          <w:szCs w:val="24"/>
        </w:rPr>
        <w:t xml:space="preserve">Commonality </w:t>
      </w:r>
      <w:r w:rsidRPr="003B6253">
        <w:rPr>
          <w:szCs w:val="24"/>
        </w:rPr>
        <w:tab/>
        <w:t xml:space="preserve"> 11</w:t>
      </w:r>
    </w:p>
    <w:p w14:paraId="3252DE46" w14:textId="77777777" w:rsidR="001A3A89" w:rsidRPr="0081545B" w:rsidRDefault="001A3A89" w:rsidP="001A3A89">
      <w:pPr>
        <w:numPr>
          <w:ilvl w:val="3"/>
          <w:numId w:val="1"/>
        </w:numPr>
        <w:tabs>
          <w:tab w:val="right" w:leader="dot" w:pos="9346"/>
        </w:tabs>
        <w:spacing w:after="240"/>
        <w:ind w:hanging="720"/>
        <w:rPr>
          <w:szCs w:val="24"/>
        </w:rPr>
      </w:pPr>
      <w:r w:rsidRPr="003B6253">
        <w:rPr>
          <w:szCs w:val="24"/>
        </w:rPr>
        <w:t xml:space="preserve">Typicality </w:t>
      </w:r>
      <w:r w:rsidRPr="003B6253">
        <w:rPr>
          <w:szCs w:val="24"/>
        </w:rPr>
        <w:tab/>
        <w:t xml:space="preserve"> </w:t>
      </w:r>
      <w:r w:rsidRPr="0081545B">
        <w:rPr>
          <w:szCs w:val="24"/>
        </w:rPr>
        <w:t>11</w:t>
      </w:r>
    </w:p>
    <w:p w14:paraId="3025E272" w14:textId="77777777" w:rsidR="001A3A89" w:rsidRPr="0081545B" w:rsidRDefault="001A3A89" w:rsidP="001A3A89">
      <w:pPr>
        <w:numPr>
          <w:ilvl w:val="3"/>
          <w:numId w:val="1"/>
        </w:numPr>
        <w:tabs>
          <w:tab w:val="right" w:leader="dot" w:pos="9346"/>
        </w:tabs>
        <w:spacing w:after="240"/>
        <w:ind w:hanging="720"/>
        <w:rPr>
          <w:szCs w:val="24"/>
        </w:rPr>
      </w:pPr>
      <w:r w:rsidRPr="0081545B">
        <w:rPr>
          <w:szCs w:val="24"/>
        </w:rPr>
        <w:t xml:space="preserve">Adequacy </w:t>
      </w:r>
      <w:r w:rsidRPr="0081545B">
        <w:rPr>
          <w:szCs w:val="24"/>
        </w:rPr>
        <w:tab/>
        <w:t xml:space="preserve"> 12</w:t>
      </w:r>
    </w:p>
    <w:p w14:paraId="386D000A" w14:textId="77777777" w:rsidR="001A3A89" w:rsidRPr="005D36DD" w:rsidRDefault="001A3A89" w:rsidP="001A3A89">
      <w:pPr>
        <w:numPr>
          <w:ilvl w:val="2"/>
          <w:numId w:val="1"/>
        </w:numPr>
        <w:tabs>
          <w:tab w:val="right" w:leader="dot" w:pos="9346"/>
        </w:tabs>
        <w:spacing w:after="240"/>
        <w:ind w:hanging="720"/>
        <w:rPr>
          <w:szCs w:val="24"/>
        </w:rPr>
      </w:pPr>
      <w:r w:rsidRPr="0081545B">
        <w:rPr>
          <w:szCs w:val="24"/>
        </w:rPr>
        <w:t xml:space="preserve">Plaintiff </w:t>
      </w:r>
      <w:r w:rsidRPr="005D36DD">
        <w:rPr>
          <w:szCs w:val="24"/>
        </w:rPr>
        <w:t xml:space="preserve">Satisfies The Requirements Of Rule 23(b)(2) </w:t>
      </w:r>
      <w:r w:rsidRPr="005D36DD">
        <w:rPr>
          <w:szCs w:val="24"/>
        </w:rPr>
        <w:tab/>
        <w:t xml:space="preserve"> 13</w:t>
      </w:r>
    </w:p>
    <w:p w14:paraId="48A74431" w14:textId="77777777" w:rsidR="001A3A89" w:rsidRPr="005D36DD" w:rsidRDefault="001A3A89" w:rsidP="001A3A89">
      <w:pPr>
        <w:numPr>
          <w:ilvl w:val="1"/>
          <w:numId w:val="1"/>
        </w:numPr>
        <w:tabs>
          <w:tab w:val="right" w:leader="dot" w:pos="9346"/>
        </w:tabs>
        <w:spacing w:after="240"/>
        <w:ind w:hanging="720"/>
        <w:rPr>
          <w:szCs w:val="24"/>
        </w:rPr>
      </w:pPr>
      <w:r w:rsidRPr="005D36DD">
        <w:rPr>
          <w:szCs w:val="24"/>
        </w:rPr>
        <w:t>The Agreement Is Fair, Reasonable, And Adequate, And Should Be</w:t>
      </w:r>
      <w:r w:rsidRPr="005D36DD">
        <w:rPr>
          <w:szCs w:val="24"/>
        </w:rPr>
        <w:br/>
        <w:t xml:space="preserve">Preliminarily Approved </w:t>
      </w:r>
      <w:r w:rsidRPr="005D36DD">
        <w:rPr>
          <w:szCs w:val="24"/>
        </w:rPr>
        <w:tab/>
        <w:t xml:space="preserve"> 14</w:t>
      </w:r>
    </w:p>
    <w:p w14:paraId="53EFED5B" w14:textId="77777777" w:rsidR="001A3A89" w:rsidRPr="004D7F94" w:rsidRDefault="001A3A89" w:rsidP="001A3A89">
      <w:pPr>
        <w:numPr>
          <w:ilvl w:val="2"/>
          <w:numId w:val="1"/>
        </w:numPr>
        <w:tabs>
          <w:tab w:val="right" w:leader="dot" w:pos="9346"/>
        </w:tabs>
        <w:spacing w:after="240"/>
        <w:ind w:hanging="720"/>
        <w:rPr>
          <w:szCs w:val="24"/>
        </w:rPr>
      </w:pPr>
      <w:r w:rsidRPr="004D7F94">
        <w:rPr>
          <w:szCs w:val="24"/>
        </w:rPr>
        <w:lastRenderedPageBreak/>
        <w:t xml:space="preserve">The Agreement Is Presumptively Fair </w:t>
      </w:r>
      <w:r w:rsidRPr="004D7F94">
        <w:rPr>
          <w:szCs w:val="24"/>
        </w:rPr>
        <w:tab/>
        <w:t xml:space="preserve"> 15</w:t>
      </w:r>
    </w:p>
    <w:p w14:paraId="3671A8EE" w14:textId="77777777" w:rsidR="001A3A89" w:rsidRPr="004D7F94" w:rsidRDefault="001A3A89" w:rsidP="001A3A89">
      <w:pPr>
        <w:numPr>
          <w:ilvl w:val="3"/>
          <w:numId w:val="1"/>
        </w:numPr>
        <w:tabs>
          <w:tab w:val="right" w:leader="dot" w:pos="9346"/>
        </w:tabs>
        <w:spacing w:after="240"/>
        <w:ind w:hanging="720"/>
        <w:rPr>
          <w:szCs w:val="24"/>
        </w:rPr>
      </w:pPr>
      <w:r w:rsidRPr="004D7F94">
        <w:rPr>
          <w:szCs w:val="24"/>
        </w:rPr>
        <w:t xml:space="preserve">Negotiations Occurred At Arms’ Length </w:t>
      </w:r>
      <w:r w:rsidRPr="004D7F94">
        <w:rPr>
          <w:szCs w:val="24"/>
        </w:rPr>
        <w:tab/>
        <w:t xml:space="preserve"> 15</w:t>
      </w:r>
    </w:p>
    <w:p w14:paraId="416A8961" w14:textId="77777777" w:rsidR="001A3A89" w:rsidRPr="004D7F94" w:rsidRDefault="001A3A89" w:rsidP="001A3A89">
      <w:pPr>
        <w:numPr>
          <w:ilvl w:val="3"/>
          <w:numId w:val="1"/>
        </w:numPr>
        <w:tabs>
          <w:tab w:val="right" w:leader="dot" w:pos="9346"/>
        </w:tabs>
        <w:spacing w:after="240"/>
        <w:ind w:hanging="720"/>
        <w:rPr>
          <w:szCs w:val="24"/>
        </w:rPr>
      </w:pPr>
      <w:r w:rsidRPr="004D7F94">
        <w:rPr>
          <w:szCs w:val="24"/>
        </w:rPr>
        <w:t xml:space="preserve">Robust Discovery Was Not Required Because The </w:t>
      </w:r>
      <w:r w:rsidRPr="004D7F94">
        <w:rPr>
          <w:szCs w:val="24"/>
        </w:rPr>
        <w:br/>
        <w:t xml:space="preserve">Accessibility Of Defendant’s Website Was Obtained </w:t>
      </w:r>
      <w:r w:rsidRPr="004D7F94">
        <w:rPr>
          <w:szCs w:val="24"/>
        </w:rPr>
        <w:br/>
        <w:t xml:space="preserve">Independently </w:t>
      </w:r>
      <w:r w:rsidRPr="004D7F94">
        <w:rPr>
          <w:szCs w:val="24"/>
        </w:rPr>
        <w:tab/>
        <w:t xml:space="preserve"> 15</w:t>
      </w:r>
    </w:p>
    <w:p w14:paraId="2F251CB1" w14:textId="77777777" w:rsidR="001A3A89" w:rsidRPr="004D7F94" w:rsidRDefault="001A3A89" w:rsidP="001A3A89">
      <w:pPr>
        <w:numPr>
          <w:ilvl w:val="3"/>
          <w:numId w:val="1"/>
        </w:numPr>
        <w:tabs>
          <w:tab w:val="right" w:leader="dot" w:pos="9346"/>
        </w:tabs>
        <w:spacing w:after="240"/>
        <w:ind w:hanging="720"/>
        <w:rPr>
          <w:szCs w:val="24"/>
        </w:rPr>
      </w:pPr>
      <w:r w:rsidRPr="004D7F94">
        <w:rPr>
          <w:szCs w:val="24"/>
        </w:rPr>
        <w:t>Plaintiff And Plaintiff’s Counsel Are Experienced In</w:t>
      </w:r>
      <w:r w:rsidRPr="004D7F94">
        <w:rPr>
          <w:szCs w:val="24"/>
        </w:rPr>
        <w:br/>
        <w:t xml:space="preserve">Similar Litigation </w:t>
      </w:r>
      <w:r w:rsidRPr="004D7F94">
        <w:rPr>
          <w:szCs w:val="24"/>
        </w:rPr>
        <w:tab/>
        <w:t xml:space="preserve"> 16</w:t>
      </w:r>
    </w:p>
    <w:p w14:paraId="3DCA6C98" w14:textId="77777777" w:rsidR="001A3A89" w:rsidRPr="00E11AC2" w:rsidRDefault="001A3A89" w:rsidP="001A3A89">
      <w:pPr>
        <w:numPr>
          <w:ilvl w:val="3"/>
          <w:numId w:val="1"/>
        </w:numPr>
        <w:tabs>
          <w:tab w:val="right" w:leader="dot" w:pos="9346"/>
        </w:tabs>
        <w:spacing w:after="240"/>
        <w:ind w:hanging="720"/>
        <w:rPr>
          <w:szCs w:val="24"/>
        </w:rPr>
      </w:pPr>
      <w:r w:rsidRPr="00E11AC2">
        <w:rPr>
          <w:szCs w:val="24"/>
        </w:rPr>
        <w:t xml:space="preserve">Given The Terms, Plaintiff Anticipates No Objections </w:t>
      </w:r>
      <w:r w:rsidRPr="00E11AC2">
        <w:rPr>
          <w:szCs w:val="24"/>
        </w:rPr>
        <w:tab/>
        <w:t xml:space="preserve"> 16</w:t>
      </w:r>
    </w:p>
    <w:p w14:paraId="19B4E933" w14:textId="77777777" w:rsidR="001A3A89" w:rsidRPr="00074618" w:rsidRDefault="001A3A89" w:rsidP="001A3A89">
      <w:pPr>
        <w:numPr>
          <w:ilvl w:val="2"/>
          <w:numId w:val="1"/>
        </w:numPr>
        <w:tabs>
          <w:tab w:val="right" w:leader="dot" w:pos="9346"/>
        </w:tabs>
        <w:spacing w:after="240"/>
        <w:ind w:hanging="720"/>
        <w:rPr>
          <w:szCs w:val="24"/>
        </w:rPr>
      </w:pPr>
      <w:r w:rsidRPr="00E11AC2">
        <w:rPr>
          <w:szCs w:val="24"/>
        </w:rPr>
        <w:t xml:space="preserve">The </w:t>
      </w:r>
      <w:r w:rsidRPr="00074618">
        <w:rPr>
          <w:i/>
          <w:iCs/>
          <w:szCs w:val="24"/>
        </w:rPr>
        <w:t xml:space="preserve">Girsh </w:t>
      </w:r>
      <w:r w:rsidRPr="00074618">
        <w:rPr>
          <w:szCs w:val="24"/>
        </w:rPr>
        <w:t xml:space="preserve">And </w:t>
      </w:r>
      <w:r w:rsidRPr="00074618">
        <w:rPr>
          <w:i/>
          <w:iCs/>
          <w:szCs w:val="24"/>
        </w:rPr>
        <w:t>Prudential</w:t>
      </w:r>
      <w:r w:rsidRPr="00074618">
        <w:rPr>
          <w:szCs w:val="24"/>
        </w:rPr>
        <w:t xml:space="preserve"> Factors Favor Preliminary Approval </w:t>
      </w:r>
      <w:r w:rsidRPr="00074618">
        <w:rPr>
          <w:szCs w:val="24"/>
        </w:rPr>
        <w:tab/>
        <w:t xml:space="preserve"> 17</w:t>
      </w:r>
    </w:p>
    <w:p w14:paraId="4C63052B" w14:textId="77777777" w:rsidR="001A3A89" w:rsidRPr="00775FC1" w:rsidRDefault="001A3A89" w:rsidP="001A3A89">
      <w:pPr>
        <w:numPr>
          <w:ilvl w:val="3"/>
          <w:numId w:val="1"/>
        </w:numPr>
        <w:tabs>
          <w:tab w:val="right" w:leader="dot" w:pos="9346"/>
        </w:tabs>
        <w:spacing w:after="240"/>
        <w:ind w:hanging="720"/>
        <w:rPr>
          <w:szCs w:val="24"/>
        </w:rPr>
      </w:pPr>
      <w:r w:rsidRPr="00074618">
        <w:rPr>
          <w:szCs w:val="24"/>
        </w:rPr>
        <w:t>Complexity</w:t>
      </w:r>
      <w:r w:rsidRPr="00775FC1">
        <w:rPr>
          <w:szCs w:val="24"/>
        </w:rPr>
        <w:t xml:space="preserve">, Expense, And Likely Duration Of Litigation </w:t>
      </w:r>
      <w:r w:rsidRPr="00775FC1">
        <w:rPr>
          <w:szCs w:val="24"/>
        </w:rPr>
        <w:tab/>
        <w:t xml:space="preserve"> 18</w:t>
      </w:r>
    </w:p>
    <w:p w14:paraId="0DCA32F1" w14:textId="77777777" w:rsidR="001A3A89" w:rsidRPr="00775FC1" w:rsidRDefault="001A3A89" w:rsidP="001A3A89">
      <w:pPr>
        <w:numPr>
          <w:ilvl w:val="3"/>
          <w:numId w:val="1"/>
        </w:numPr>
        <w:tabs>
          <w:tab w:val="right" w:leader="dot" w:pos="9346"/>
        </w:tabs>
        <w:spacing w:after="240"/>
        <w:ind w:hanging="720"/>
        <w:rPr>
          <w:szCs w:val="24"/>
        </w:rPr>
      </w:pPr>
      <w:r w:rsidRPr="00775FC1">
        <w:rPr>
          <w:szCs w:val="24"/>
        </w:rPr>
        <w:t xml:space="preserve">Reaction Of Class To Settlement </w:t>
      </w:r>
      <w:r w:rsidRPr="00775FC1">
        <w:rPr>
          <w:szCs w:val="24"/>
        </w:rPr>
        <w:tab/>
        <w:t xml:space="preserve"> 18</w:t>
      </w:r>
    </w:p>
    <w:p w14:paraId="211105BE" w14:textId="77777777" w:rsidR="001A3A89" w:rsidRPr="00775FC1" w:rsidRDefault="001A3A89" w:rsidP="001A3A89">
      <w:pPr>
        <w:numPr>
          <w:ilvl w:val="3"/>
          <w:numId w:val="1"/>
        </w:numPr>
        <w:tabs>
          <w:tab w:val="right" w:leader="dot" w:pos="9346"/>
        </w:tabs>
        <w:spacing w:after="240"/>
        <w:ind w:hanging="720"/>
        <w:rPr>
          <w:szCs w:val="24"/>
        </w:rPr>
      </w:pPr>
      <w:r w:rsidRPr="00775FC1">
        <w:rPr>
          <w:szCs w:val="24"/>
        </w:rPr>
        <w:t>Stage Of Proceedings And Amount Of Discovery</w:t>
      </w:r>
      <w:r w:rsidRPr="00775FC1">
        <w:rPr>
          <w:szCs w:val="24"/>
        </w:rPr>
        <w:br/>
        <w:t xml:space="preserve">Completed </w:t>
      </w:r>
      <w:r w:rsidRPr="00775FC1">
        <w:rPr>
          <w:szCs w:val="24"/>
        </w:rPr>
        <w:tab/>
        <w:t xml:space="preserve"> 19</w:t>
      </w:r>
    </w:p>
    <w:p w14:paraId="25161AB9" w14:textId="77777777" w:rsidR="001A3A89" w:rsidRPr="00B2215F" w:rsidRDefault="001A3A89" w:rsidP="001A3A89">
      <w:pPr>
        <w:numPr>
          <w:ilvl w:val="3"/>
          <w:numId w:val="1"/>
        </w:numPr>
        <w:tabs>
          <w:tab w:val="right" w:leader="dot" w:pos="9346"/>
        </w:tabs>
        <w:spacing w:after="240"/>
        <w:ind w:hanging="720"/>
        <w:rPr>
          <w:szCs w:val="24"/>
        </w:rPr>
      </w:pPr>
      <w:r w:rsidRPr="00775FC1">
        <w:rPr>
          <w:szCs w:val="24"/>
        </w:rPr>
        <w:t xml:space="preserve">Risks Of Establishing </w:t>
      </w:r>
      <w:r w:rsidRPr="00B2215F">
        <w:rPr>
          <w:szCs w:val="24"/>
        </w:rPr>
        <w:t xml:space="preserve">Liability And Damages </w:t>
      </w:r>
      <w:r w:rsidRPr="00B2215F">
        <w:rPr>
          <w:szCs w:val="24"/>
        </w:rPr>
        <w:tab/>
        <w:t xml:space="preserve"> 19</w:t>
      </w:r>
    </w:p>
    <w:p w14:paraId="5C0BF6BC" w14:textId="77777777" w:rsidR="001A3A89" w:rsidRPr="00B2215F" w:rsidRDefault="001A3A89" w:rsidP="001A3A89">
      <w:pPr>
        <w:numPr>
          <w:ilvl w:val="3"/>
          <w:numId w:val="1"/>
        </w:numPr>
        <w:tabs>
          <w:tab w:val="right" w:leader="dot" w:pos="9346"/>
        </w:tabs>
        <w:spacing w:after="240"/>
        <w:ind w:hanging="720"/>
        <w:rPr>
          <w:szCs w:val="24"/>
        </w:rPr>
      </w:pPr>
      <w:r w:rsidRPr="00B2215F">
        <w:rPr>
          <w:szCs w:val="24"/>
        </w:rPr>
        <w:t xml:space="preserve">Risks Of Maintaining Class Action Through Trial </w:t>
      </w:r>
      <w:r w:rsidRPr="00B2215F">
        <w:rPr>
          <w:szCs w:val="24"/>
        </w:rPr>
        <w:tab/>
        <w:t xml:space="preserve"> 20</w:t>
      </w:r>
    </w:p>
    <w:p w14:paraId="520567BB" w14:textId="77777777" w:rsidR="001A3A89" w:rsidRPr="00B2215F" w:rsidRDefault="001A3A89" w:rsidP="001A3A89">
      <w:pPr>
        <w:numPr>
          <w:ilvl w:val="3"/>
          <w:numId w:val="1"/>
        </w:numPr>
        <w:tabs>
          <w:tab w:val="right" w:leader="dot" w:pos="9346"/>
        </w:tabs>
        <w:spacing w:after="240"/>
        <w:ind w:hanging="720"/>
        <w:rPr>
          <w:szCs w:val="24"/>
        </w:rPr>
      </w:pPr>
      <w:r w:rsidRPr="00B2215F">
        <w:rPr>
          <w:szCs w:val="24"/>
        </w:rPr>
        <w:t xml:space="preserve">Ability Of Defendant To Withstand Greater Judgment </w:t>
      </w:r>
      <w:r w:rsidRPr="00B2215F">
        <w:rPr>
          <w:szCs w:val="24"/>
        </w:rPr>
        <w:tab/>
        <w:t xml:space="preserve"> 20</w:t>
      </w:r>
    </w:p>
    <w:p w14:paraId="34695E2E" w14:textId="77777777" w:rsidR="001A3A89" w:rsidRPr="00382EC7" w:rsidRDefault="001A3A89" w:rsidP="001A3A89">
      <w:pPr>
        <w:numPr>
          <w:ilvl w:val="3"/>
          <w:numId w:val="1"/>
        </w:numPr>
        <w:tabs>
          <w:tab w:val="right" w:leader="dot" w:pos="9346"/>
        </w:tabs>
        <w:spacing w:after="240"/>
        <w:ind w:hanging="720"/>
        <w:rPr>
          <w:szCs w:val="24"/>
        </w:rPr>
      </w:pPr>
      <w:r w:rsidRPr="00B2215F">
        <w:rPr>
          <w:szCs w:val="24"/>
        </w:rPr>
        <w:t>Range Of Reasonableness Of Settlement In Light Of Best</w:t>
      </w:r>
      <w:r w:rsidRPr="00B2215F">
        <w:rPr>
          <w:szCs w:val="24"/>
        </w:rPr>
        <w:br/>
        <w:t xml:space="preserve">Possible Recovery And </w:t>
      </w:r>
      <w:r w:rsidRPr="0040276F">
        <w:rPr>
          <w:szCs w:val="24"/>
        </w:rPr>
        <w:t xml:space="preserve">All </w:t>
      </w:r>
      <w:r w:rsidRPr="00382EC7">
        <w:rPr>
          <w:szCs w:val="24"/>
        </w:rPr>
        <w:t xml:space="preserve">Attendant Risks Of Litigation </w:t>
      </w:r>
      <w:r w:rsidRPr="00382EC7">
        <w:rPr>
          <w:szCs w:val="24"/>
        </w:rPr>
        <w:tab/>
        <w:t xml:space="preserve"> 20</w:t>
      </w:r>
    </w:p>
    <w:p w14:paraId="494EDE1B" w14:textId="77777777" w:rsidR="001A3A89" w:rsidRPr="00382EC7" w:rsidRDefault="001A3A89" w:rsidP="001A3A89">
      <w:pPr>
        <w:numPr>
          <w:ilvl w:val="3"/>
          <w:numId w:val="1"/>
        </w:numPr>
        <w:tabs>
          <w:tab w:val="right" w:leader="dot" w:pos="9346"/>
        </w:tabs>
        <w:spacing w:after="240"/>
        <w:ind w:hanging="720"/>
        <w:rPr>
          <w:szCs w:val="24"/>
        </w:rPr>
      </w:pPr>
      <w:r w:rsidRPr="00382EC7">
        <w:rPr>
          <w:i/>
          <w:iCs/>
          <w:szCs w:val="24"/>
        </w:rPr>
        <w:t>Prudential</w:t>
      </w:r>
      <w:r w:rsidRPr="00382EC7">
        <w:rPr>
          <w:szCs w:val="24"/>
        </w:rPr>
        <w:t xml:space="preserve"> Factors </w:t>
      </w:r>
      <w:r w:rsidRPr="00382EC7">
        <w:rPr>
          <w:szCs w:val="24"/>
        </w:rPr>
        <w:tab/>
        <w:t xml:space="preserve"> 21</w:t>
      </w:r>
    </w:p>
    <w:p w14:paraId="71AB9204" w14:textId="77777777" w:rsidR="001A3A89" w:rsidRPr="00382EC7" w:rsidRDefault="001A3A89" w:rsidP="001A3A89">
      <w:pPr>
        <w:numPr>
          <w:ilvl w:val="1"/>
          <w:numId w:val="1"/>
        </w:numPr>
        <w:tabs>
          <w:tab w:val="right" w:leader="dot" w:pos="9346"/>
        </w:tabs>
        <w:spacing w:after="240"/>
        <w:ind w:hanging="720"/>
        <w:rPr>
          <w:szCs w:val="24"/>
        </w:rPr>
      </w:pPr>
      <w:r w:rsidRPr="00382EC7">
        <w:rPr>
          <w:szCs w:val="24"/>
        </w:rPr>
        <w:t>The Proposed Notice And Notice Plan Satisfy The Requirements Of</w:t>
      </w:r>
      <w:r w:rsidRPr="00382EC7">
        <w:rPr>
          <w:szCs w:val="24"/>
        </w:rPr>
        <w:br/>
        <w:t xml:space="preserve">Rule 23(e) And Due Process </w:t>
      </w:r>
      <w:r w:rsidRPr="00382EC7">
        <w:rPr>
          <w:szCs w:val="24"/>
        </w:rPr>
        <w:tab/>
        <w:t xml:space="preserve"> 21</w:t>
      </w:r>
    </w:p>
    <w:p w14:paraId="5E0D85FB" w14:textId="77777777" w:rsidR="001A3A89" w:rsidRPr="00382EC7" w:rsidRDefault="001A3A89" w:rsidP="001A3A89">
      <w:pPr>
        <w:pStyle w:val="ListParagraph"/>
        <w:numPr>
          <w:ilvl w:val="0"/>
          <w:numId w:val="1"/>
        </w:numPr>
        <w:tabs>
          <w:tab w:val="right" w:leader="dot" w:pos="9346"/>
        </w:tabs>
        <w:spacing w:after="240"/>
        <w:ind w:hanging="720"/>
        <w:contextualSpacing w:val="0"/>
        <w:jc w:val="both"/>
        <w:rPr>
          <w:szCs w:val="24"/>
        </w:rPr>
      </w:pPr>
      <w:r w:rsidRPr="00382EC7">
        <w:rPr>
          <w:szCs w:val="24"/>
        </w:rPr>
        <w:t xml:space="preserve">CONCLUSION </w:t>
      </w:r>
      <w:r w:rsidRPr="00382EC7">
        <w:rPr>
          <w:szCs w:val="24"/>
        </w:rPr>
        <w:tab/>
        <w:t xml:space="preserve"> 24</w:t>
      </w:r>
    </w:p>
    <w:p w14:paraId="14627D66" w14:textId="4DC0DFD1" w:rsidR="00AC5EAB" w:rsidRPr="00662BD5" w:rsidRDefault="00AC5EAB" w:rsidP="0085551D">
      <w:pPr>
        <w:tabs>
          <w:tab w:val="left" w:pos="0"/>
          <w:tab w:val="left" w:pos="720"/>
          <w:tab w:val="left" w:leader="dot" w:pos="8928"/>
        </w:tabs>
        <w:spacing w:after="240"/>
        <w:jc w:val="both"/>
        <w:rPr>
          <w:szCs w:val="24"/>
          <w:highlight w:val="yellow"/>
        </w:rPr>
      </w:pPr>
      <w:r w:rsidRPr="00662BD5">
        <w:rPr>
          <w:szCs w:val="24"/>
          <w:highlight w:val="yellow"/>
        </w:rPr>
        <w:br w:type="page"/>
      </w:r>
    </w:p>
    <w:p w14:paraId="04E8AB09" w14:textId="0A66FA97" w:rsidR="00AC5EAB" w:rsidRPr="00E140EF" w:rsidRDefault="00AC5EAB" w:rsidP="00773026">
      <w:pPr>
        <w:spacing w:after="240"/>
        <w:jc w:val="center"/>
        <w:rPr>
          <w:b/>
          <w:bCs/>
          <w:szCs w:val="24"/>
          <w:u w:val="single"/>
        </w:rPr>
      </w:pPr>
      <w:r w:rsidRPr="00E140EF">
        <w:rPr>
          <w:b/>
          <w:bCs/>
          <w:szCs w:val="24"/>
          <w:u w:val="single"/>
        </w:rPr>
        <w:lastRenderedPageBreak/>
        <w:t>TABLE OF AUTHORITIES</w:t>
      </w:r>
    </w:p>
    <w:p w14:paraId="0AB5F456" w14:textId="77777777" w:rsidR="00773026" w:rsidRPr="00E140EF" w:rsidRDefault="00773026" w:rsidP="00773026">
      <w:pPr>
        <w:tabs>
          <w:tab w:val="right" w:leader="dot" w:pos="9346"/>
        </w:tabs>
        <w:rPr>
          <w:rFonts w:eastAsiaTheme="minorHAnsi"/>
          <w:b/>
          <w:bCs/>
          <w:szCs w:val="24"/>
          <w:u w:val="single"/>
        </w:rPr>
      </w:pPr>
      <w:r w:rsidRPr="00E140EF">
        <w:rPr>
          <w:rFonts w:eastAsiaTheme="minorHAnsi"/>
          <w:b/>
          <w:bCs/>
          <w:szCs w:val="24"/>
          <w:u w:val="single"/>
        </w:rPr>
        <w:t>Cases</w:t>
      </w:r>
    </w:p>
    <w:p w14:paraId="016B5014" w14:textId="77777777" w:rsidR="00773026" w:rsidRPr="00662BD5" w:rsidRDefault="00773026" w:rsidP="00773026">
      <w:pPr>
        <w:tabs>
          <w:tab w:val="right" w:leader="dot" w:pos="9346"/>
        </w:tabs>
        <w:rPr>
          <w:rFonts w:eastAsiaTheme="minorHAnsi"/>
          <w:szCs w:val="24"/>
          <w:highlight w:val="yellow"/>
        </w:rPr>
      </w:pPr>
    </w:p>
    <w:p w14:paraId="0CEBB1A9" w14:textId="77777777" w:rsidR="00773026" w:rsidRPr="00E140EF" w:rsidRDefault="00773026" w:rsidP="00773026">
      <w:pPr>
        <w:tabs>
          <w:tab w:val="right" w:leader="dot" w:pos="9346"/>
        </w:tabs>
        <w:rPr>
          <w:rFonts w:eastAsiaTheme="minorHAnsi"/>
          <w:szCs w:val="24"/>
        </w:rPr>
      </w:pPr>
      <w:proofErr w:type="spellStart"/>
      <w:r w:rsidRPr="00E140EF">
        <w:rPr>
          <w:rFonts w:eastAsiaTheme="minorHAnsi"/>
          <w:i/>
          <w:iCs/>
          <w:szCs w:val="24"/>
        </w:rPr>
        <w:t>Amchem</w:t>
      </w:r>
      <w:proofErr w:type="spellEnd"/>
      <w:r w:rsidRPr="00E140EF">
        <w:rPr>
          <w:rFonts w:eastAsiaTheme="minorHAnsi"/>
          <w:i/>
          <w:iCs/>
          <w:szCs w:val="24"/>
        </w:rPr>
        <w:t xml:space="preserve"> Prods., Inc. v. Windsor</w:t>
      </w:r>
      <w:r w:rsidRPr="00E140EF">
        <w:rPr>
          <w:rFonts w:eastAsiaTheme="minorHAnsi"/>
          <w:szCs w:val="24"/>
        </w:rPr>
        <w:t xml:space="preserve">, </w:t>
      </w:r>
    </w:p>
    <w:p w14:paraId="490B622F" w14:textId="6716E11D" w:rsidR="00773026" w:rsidRPr="00E140EF" w:rsidRDefault="00773026" w:rsidP="00773026">
      <w:pPr>
        <w:tabs>
          <w:tab w:val="right" w:leader="dot" w:pos="9346"/>
        </w:tabs>
        <w:ind w:left="360"/>
        <w:rPr>
          <w:rFonts w:eastAsiaTheme="minorHAnsi"/>
          <w:szCs w:val="24"/>
        </w:rPr>
      </w:pPr>
      <w:r w:rsidRPr="00E140EF">
        <w:rPr>
          <w:rFonts w:eastAsiaTheme="minorHAnsi"/>
          <w:szCs w:val="24"/>
        </w:rPr>
        <w:t xml:space="preserve">521 U.S. 591 (1997) </w:t>
      </w:r>
      <w:r w:rsidRPr="00E140EF">
        <w:rPr>
          <w:rFonts w:eastAsiaTheme="minorHAnsi"/>
          <w:szCs w:val="24"/>
        </w:rPr>
        <w:tab/>
        <w:t xml:space="preserve"> 1</w:t>
      </w:r>
      <w:r w:rsidR="00E140EF" w:rsidRPr="00E140EF">
        <w:rPr>
          <w:rFonts w:eastAsiaTheme="minorHAnsi"/>
          <w:szCs w:val="24"/>
        </w:rPr>
        <w:t>4</w:t>
      </w:r>
    </w:p>
    <w:p w14:paraId="54C2767C" w14:textId="77777777" w:rsidR="00773026" w:rsidRPr="00E140EF" w:rsidRDefault="00773026" w:rsidP="00773026">
      <w:pPr>
        <w:tabs>
          <w:tab w:val="right" w:leader="dot" w:pos="9346"/>
        </w:tabs>
        <w:rPr>
          <w:rFonts w:eastAsiaTheme="minorHAnsi"/>
          <w:i/>
          <w:iCs/>
          <w:szCs w:val="24"/>
        </w:rPr>
      </w:pPr>
    </w:p>
    <w:p w14:paraId="43484744" w14:textId="77777777" w:rsidR="00773026" w:rsidRPr="00E140EF" w:rsidRDefault="00773026" w:rsidP="00773026">
      <w:pPr>
        <w:tabs>
          <w:tab w:val="right" w:leader="dot" w:pos="9346"/>
        </w:tabs>
        <w:rPr>
          <w:rFonts w:eastAsiaTheme="minorHAnsi"/>
          <w:szCs w:val="24"/>
        </w:rPr>
      </w:pPr>
      <w:r w:rsidRPr="00E140EF">
        <w:rPr>
          <w:rFonts w:eastAsiaTheme="minorHAnsi"/>
          <w:i/>
          <w:iCs/>
          <w:szCs w:val="24"/>
        </w:rPr>
        <w:t>Arnold v. United Artists Theatre Circuit, Inc.</w:t>
      </w:r>
      <w:r w:rsidRPr="00E140EF">
        <w:rPr>
          <w:rFonts w:eastAsiaTheme="minorHAnsi"/>
          <w:szCs w:val="24"/>
        </w:rPr>
        <w:t xml:space="preserve">, </w:t>
      </w:r>
    </w:p>
    <w:p w14:paraId="46E2DBD6" w14:textId="36A29BEB" w:rsidR="00773026" w:rsidRPr="00E140EF" w:rsidRDefault="00773026" w:rsidP="00773026">
      <w:pPr>
        <w:tabs>
          <w:tab w:val="right" w:leader="dot" w:pos="9346"/>
        </w:tabs>
        <w:ind w:left="360"/>
        <w:rPr>
          <w:rFonts w:eastAsiaTheme="minorHAnsi"/>
          <w:szCs w:val="24"/>
        </w:rPr>
      </w:pPr>
      <w:r w:rsidRPr="00E140EF">
        <w:rPr>
          <w:rFonts w:eastAsiaTheme="minorHAnsi"/>
          <w:szCs w:val="24"/>
        </w:rPr>
        <w:t xml:space="preserve">158 F.R.D. 439 (N.D. Cal. 1994) </w:t>
      </w:r>
      <w:r w:rsidRPr="00E140EF">
        <w:rPr>
          <w:rFonts w:eastAsiaTheme="minorHAnsi"/>
          <w:szCs w:val="24"/>
        </w:rPr>
        <w:tab/>
        <w:t xml:space="preserve"> 1</w:t>
      </w:r>
      <w:r w:rsidR="00E140EF" w:rsidRPr="00E140EF">
        <w:rPr>
          <w:rFonts w:eastAsiaTheme="minorHAnsi"/>
          <w:szCs w:val="24"/>
        </w:rPr>
        <w:t>0</w:t>
      </w:r>
    </w:p>
    <w:p w14:paraId="08187C4F" w14:textId="77777777" w:rsidR="00773026" w:rsidRPr="00662BD5" w:rsidRDefault="00773026" w:rsidP="00773026">
      <w:pPr>
        <w:tabs>
          <w:tab w:val="right" w:leader="dot" w:pos="9346"/>
        </w:tabs>
        <w:rPr>
          <w:rFonts w:eastAsiaTheme="minorHAnsi"/>
          <w:i/>
          <w:iCs/>
          <w:szCs w:val="24"/>
          <w:highlight w:val="yellow"/>
        </w:rPr>
      </w:pPr>
    </w:p>
    <w:p w14:paraId="2E6594D4" w14:textId="77777777" w:rsidR="00773026" w:rsidRPr="00E140EF" w:rsidRDefault="00773026" w:rsidP="00773026">
      <w:pPr>
        <w:tabs>
          <w:tab w:val="right" w:leader="dot" w:pos="9346"/>
        </w:tabs>
        <w:rPr>
          <w:rFonts w:eastAsiaTheme="minorHAnsi"/>
          <w:szCs w:val="24"/>
        </w:rPr>
      </w:pPr>
      <w:r w:rsidRPr="00E140EF">
        <w:rPr>
          <w:rFonts w:eastAsiaTheme="minorHAnsi"/>
          <w:i/>
          <w:iCs/>
          <w:szCs w:val="24"/>
        </w:rPr>
        <w:t>Baby Neal v. Casey</w:t>
      </w:r>
      <w:r w:rsidRPr="00E140EF">
        <w:rPr>
          <w:rFonts w:eastAsiaTheme="minorHAnsi"/>
          <w:szCs w:val="24"/>
        </w:rPr>
        <w:t xml:space="preserve">, </w:t>
      </w:r>
    </w:p>
    <w:p w14:paraId="0A0B505A" w14:textId="0D034C11" w:rsidR="00773026" w:rsidRPr="00E140EF" w:rsidRDefault="00773026" w:rsidP="00773026">
      <w:pPr>
        <w:tabs>
          <w:tab w:val="right" w:leader="dot" w:pos="9346"/>
        </w:tabs>
        <w:ind w:left="360"/>
        <w:rPr>
          <w:rFonts w:eastAsiaTheme="minorHAnsi"/>
          <w:szCs w:val="24"/>
        </w:rPr>
      </w:pPr>
      <w:r w:rsidRPr="00E140EF">
        <w:rPr>
          <w:rFonts w:eastAsiaTheme="minorHAnsi"/>
          <w:szCs w:val="24"/>
        </w:rPr>
        <w:t xml:space="preserve">43 F.3d 48 (3d Cir. 1994) </w:t>
      </w:r>
      <w:r w:rsidRPr="00E140EF">
        <w:rPr>
          <w:rFonts w:eastAsiaTheme="minorHAnsi"/>
          <w:szCs w:val="24"/>
        </w:rPr>
        <w:tab/>
        <w:t xml:space="preserve"> 1</w:t>
      </w:r>
      <w:r w:rsidR="00E140EF" w:rsidRPr="00E140EF">
        <w:rPr>
          <w:rFonts w:eastAsiaTheme="minorHAnsi"/>
          <w:szCs w:val="24"/>
        </w:rPr>
        <w:t>1</w:t>
      </w:r>
      <w:r w:rsidRPr="00E140EF">
        <w:rPr>
          <w:rFonts w:eastAsiaTheme="minorHAnsi"/>
          <w:szCs w:val="24"/>
        </w:rPr>
        <w:t>, 1</w:t>
      </w:r>
      <w:r w:rsidR="00E140EF" w:rsidRPr="00E140EF">
        <w:rPr>
          <w:rFonts w:eastAsiaTheme="minorHAnsi"/>
          <w:szCs w:val="24"/>
        </w:rPr>
        <w:t>2</w:t>
      </w:r>
      <w:r w:rsidRPr="00E140EF">
        <w:rPr>
          <w:rFonts w:eastAsiaTheme="minorHAnsi"/>
          <w:szCs w:val="24"/>
        </w:rPr>
        <w:t>, 1</w:t>
      </w:r>
      <w:r w:rsidR="00E140EF" w:rsidRPr="00E140EF">
        <w:rPr>
          <w:rFonts w:eastAsiaTheme="minorHAnsi"/>
          <w:szCs w:val="24"/>
        </w:rPr>
        <w:t>3</w:t>
      </w:r>
    </w:p>
    <w:p w14:paraId="6F163D2C" w14:textId="77777777" w:rsidR="00773026" w:rsidRPr="00662BD5" w:rsidRDefault="00773026" w:rsidP="00773026">
      <w:pPr>
        <w:tabs>
          <w:tab w:val="right" w:leader="dot" w:pos="9346"/>
        </w:tabs>
        <w:rPr>
          <w:rFonts w:eastAsiaTheme="minorHAnsi"/>
          <w:i/>
          <w:iCs/>
          <w:szCs w:val="24"/>
          <w:highlight w:val="yellow"/>
        </w:rPr>
      </w:pPr>
    </w:p>
    <w:p w14:paraId="4335AED4" w14:textId="77777777" w:rsidR="00773026" w:rsidRPr="00E140EF" w:rsidRDefault="00773026" w:rsidP="00773026">
      <w:pPr>
        <w:tabs>
          <w:tab w:val="right" w:leader="dot" w:pos="9346"/>
        </w:tabs>
        <w:rPr>
          <w:rFonts w:eastAsiaTheme="minorHAnsi"/>
          <w:szCs w:val="24"/>
        </w:rPr>
      </w:pPr>
      <w:r w:rsidRPr="00E140EF">
        <w:rPr>
          <w:rFonts w:eastAsiaTheme="minorHAnsi"/>
          <w:i/>
          <w:iCs/>
          <w:szCs w:val="24"/>
        </w:rPr>
        <w:t>Cureton v. NCAA</w:t>
      </w:r>
      <w:r w:rsidRPr="00E140EF">
        <w:rPr>
          <w:rFonts w:eastAsiaTheme="minorHAnsi"/>
          <w:szCs w:val="24"/>
        </w:rPr>
        <w:t xml:space="preserve">, No. 97-cv-00131, </w:t>
      </w:r>
    </w:p>
    <w:p w14:paraId="7D80DFF1" w14:textId="319FD05D" w:rsidR="00773026" w:rsidRPr="00E140EF" w:rsidRDefault="00773026" w:rsidP="00773026">
      <w:pPr>
        <w:tabs>
          <w:tab w:val="right" w:leader="dot" w:pos="9346"/>
        </w:tabs>
        <w:ind w:left="360"/>
        <w:rPr>
          <w:rFonts w:eastAsiaTheme="minorHAnsi"/>
          <w:szCs w:val="24"/>
        </w:rPr>
      </w:pPr>
      <w:r w:rsidRPr="00E140EF">
        <w:rPr>
          <w:rFonts w:eastAsiaTheme="minorHAnsi"/>
          <w:szCs w:val="24"/>
        </w:rPr>
        <w:t xml:space="preserve">1999 U.S. Dist. LEXIS 9706 (E.D. Pa. July 1, 1999) </w:t>
      </w:r>
      <w:r w:rsidRPr="00E140EF">
        <w:rPr>
          <w:rFonts w:eastAsiaTheme="minorHAnsi"/>
          <w:szCs w:val="24"/>
        </w:rPr>
        <w:tab/>
        <w:t xml:space="preserve"> </w:t>
      </w:r>
      <w:r w:rsidR="00E140EF" w:rsidRPr="00E140EF">
        <w:rPr>
          <w:rFonts w:eastAsiaTheme="minorHAnsi"/>
          <w:szCs w:val="24"/>
        </w:rPr>
        <w:t>9</w:t>
      </w:r>
    </w:p>
    <w:p w14:paraId="541C1417" w14:textId="77777777" w:rsidR="00773026" w:rsidRPr="00E140EF" w:rsidRDefault="00773026" w:rsidP="00773026">
      <w:pPr>
        <w:tabs>
          <w:tab w:val="right" w:leader="dot" w:pos="9346"/>
        </w:tabs>
        <w:rPr>
          <w:rFonts w:eastAsiaTheme="minorHAnsi"/>
          <w:i/>
          <w:iCs/>
          <w:szCs w:val="24"/>
        </w:rPr>
      </w:pPr>
    </w:p>
    <w:p w14:paraId="543B93CA" w14:textId="77777777" w:rsidR="00773026" w:rsidRPr="00E140EF" w:rsidRDefault="00773026" w:rsidP="00773026">
      <w:pPr>
        <w:tabs>
          <w:tab w:val="right" w:leader="dot" w:pos="9346"/>
        </w:tabs>
        <w:rPr>
          <w:rFonts w:eastAsiaTheme="minorHAnsi"/>
          <w:szCs w:val="24"/>
        </w:rPr>
      </w:pPr>
      <w:r w:rsidRPr="00E140EF">
        <w:rPr>
          <w:rFonts w:eastAsiaTheme="minorHAnsi"/>
          <w:i/>
          <w:iCs/>
          <w:szCs w:val="24"/>
        </w:rPr>
        <w:t>Girsh v. Jepson</w:t>
      </w:r>
      <w:r w:rsidRPr="00E140EF">
        <w:rPr>
          <w:rFonts w:eastAsiaTheme="minorHAnsi"/>
          <w:szCs w:val="24"/>
        </w:rPr>
        <w:t xml:space="preserve">, </w:t>
      </w:r>
    </w:p>
    <w:p w14:paraId="0CA199A2" w14:textId="11137D0D" w:rsidR="00773026" w:rsidRPr="00E140EF" w:rsidRDefault="00773026" w:rsidP="00773026">
      <w:pPr>
        <w:tabs>
          <w:tab w:val="right" w:leader="dot" w:pos="9346"/>
        </w:tabs>
        <w:ind w:left="360"/>
        <w:rPr>
          <w:rFonts w:eastAsiaTheme="minorHAnsi"/>
          <w:szCs w:val="24"/>
        </w:rPr>
      </w:pPr>
      <w:r w:rsidRPr="00E140EF">
        <w:rPr>
          <w:rFonts w:eastAsiaTheme="minorHAnsi"/>
          <w:szCs w:val="24"/>
        </w:rPr>
        <w:t xml:space="preserve">521 F.2d 153 (3d Cir. 1975) </w:t>
      </w:r>
      <w:r w:rsidRPr="00E140EF">
        <w:rPr>
          <w:rFonts w:eastAsiaTheme="minorHAnsi"/>
          <w:szCs w:val="24"/>
        </w:rPr>
        <w:tab/>
        <w:t xml:space="preserve"> 1</w:t>
      </w:r>
      <w:r w:rsidR="00E140EF" w:rsidRPr="00E140EF">
        <w:rPr>
          <w:rFonts w:eastAsiaTheme="minorHAnsi"/>
          <w:szCs w:val="24"/>
        </w:rPr>
        <w:t>7</w:t>
      </w:r>
    </w:p>
    <w:p w14:paraId="2E8F88E3" w14:textId="77777777" w:rsidR="00773026" w:rsidRPr="00E140EF" w:rsidRDefault="00773026" w:rsidP="00773026">
      <w:pPr>
        <w:tabs>
          <w:tab w:val="right" w:leader="dot" w:pos="9346"/>
        </w:tabs>
        <w:rPr>
          <w:rFonts w:eastAsiaTheme="minorHAnsi"/>
          <w:i/>
          <w:iCs/>
          <w:szCs w:val="24"/>
        </w:rPr>
      </w:pPr>
    </w:p>
    <w:p w14:paraId="5383264F" w14:textId="77777777" w:rsidR="00773026" w:rsidRPr="00E140EF" w:rsidRDefault="00773026" w:rsidP="00773026">
      <w:pPr>
        <w:tabs>
          <w:tab w:val="right" w:leader="dot" w:pos="9346"/>
        </w:tabs>
        <w:rPr>
          <w:rFonts w:eastAsiaTheme="minorHAnsi"/>
          <w:szCs w:val="24"/>
        </w:rPr>
      </w:pPr>
      <w:proofErr w:type="spellStart"/>
      <w:r w:rsidRPr="00E140EF">
        <w:rPr>
          <w:rFonts w:eastAsiaTheme="minorHAnsi"/>
          <w:i/>
          <w:iCs/>
          <w:szCs w:val="24"/>
        </w:rPr>
        <w:t>Hassine</w:t>
      </w:r>
      <w:proofErr w:type="spellEnd"/>
      <w:r w:rsidRPr="00E140EF">
        <w:rPr>
          <w:rFonts w:eastAsiaTheme="minorHAnsi"/>
          <w:i/>
          <w:iCs/>
          <w:szCs w:val="24"/>
        </w:rPr>
        <w:t xml:space="preserve"> v. </w:t>
      </w:r>
      <w:proofErr w:type="spellStart"/>
      <w:r w:rsidRPr="00E140EF">
        <w:rPr>
          <w:rFonts w:eastAsiaTheme="minorHAnsi"/>
          <w:i/>
          <w:iCs/>
          <w:szCs w:val="24"/>
        </w:rPr>
        <w:t>Jeffes</w:t>
      </w:r>
      <w:proofErr w:type="spellEnd"/>
      <w:r w:rsidRPr="00E140EF">
        <w:rPr>
          <w:rFonts w:eastAsiaTheme="minorHAnsi"/>
          <w:szCs w:val="24"/>
        </w:rPr>
        <w:t xml:space="preserve">, </w:t>
      </w:r>
    </w:p>
    <w:p w14:paraId="6961873A" w14:textId="29E6119B" w:rsidR="00773026" w:rsidRPr="00E140EF" w:rsidRDefault="00773026" w:rsidP="00773026">
      <w:pPr>
        <w:tabs>
          <w:tab w:val="right" w:leader="dot" w:pos="9346"/>
        </w:tabs>
        <w:ind w:left="360"/>
        <w:rPr>
          <w:rFonts w:eastAsiaTheme="minorHAnsi"/>
          <w:szCs w:val="24"/>
        </w:rPr>
      </w:pPr>
      <w:r w:rsidRPr="00E140EF">
        <w:rPr>
          <w:rFonts w:eastAsiaTheme="minorHAnsi"/>
          <w:szCs w:val="24"/>
        </w:rPr>
        <w:t xml:space="preserve">846 F.2d 169 (3d Cir. 1988) </w:t>
      </w:r>
      <w:r w:rsidRPr="00E140EF">
        <w:rPr>
          <w:rFonts w:eastAsiaTheme="minorHAnsi"/>
          <w:szCs w:val="24"/>
        </w:rPr>
        <w:tab/>
        <w:t xml:space="preserve"> 1</w:t>
      </w:r>
      <w:r w:rsidR="00E140EF" w:rsidRPr="00E140EF">
        <w:rPr>
          <w:rFonts w:eastAsiaTheme="minorHAnsi"/>
          <w:szCs w:val="24"/>
        </w:rPr>
        <w:t>2</w:t>
      </w:r>
    </w:p>
    <w:p w14:paraId="5D8DB6CD" w14:textId="77777777" w:rsidR="00773026" w:rsidRPr="00E140EF" w:rsidRDefault="00773026" w:rsidP="00773026">
      <w:pPr>
        <w:tabs>
          <w:tab w:val="right" w:leader="dot" w:pos="9346"/>
        </w:tabs>
        <w:rPr>
          <w:rFonts w:eastAsiaTheme="minorHAnsi"/>
          <w:i/>
          <w:iCs/>
          <w:szCs w:val="24"/>
        </w:rPr>
      </w:pPr>
    </w:p>
    <w:p w14:paraId="20AAC48B" w14:textId="77777777" w:rsidR="00773026" w:rsidRPr="00E140EF" w:rsidRDefault="00773026" w:rsidP="00773026">
      <w:pPr>
        <w:tabs>
          <w:tab w:val="right" w:leader="dot" w:pos="9346"/>
        </w:tabs>
        <w:rPr>
          <w:rFonts w:eastAsiaTheme="minorHAnsi"/>
          <w:szCs w:val="24"/>
        </w:rPr>
      </w:pPr>
      <w:r w:rsidRPr="00E140EF">
        <w:rPr>
          <w:rFonts w:eastAsiaTheme="minorHAnsi"/>
          <w:i/>
          <w:iCs/>
          <w:szCs w:val="24"/>
        </w:rPr>
        <w:t>In re Baby Prods. Antitrust Litig</w:t>
      </w:r>
      <w:r w:rsidRPr="00E140EF">
        <w:rPr>
          <w:rFonts w:eastAsiaTheme="minorHAnsi"/>
          <w:szCs w:val="24"/>
        </w:rPr>
        <w:t xml:space="preserve">., </w:t>
      </w:r>
    </w:p>
    <w:p w14:paraId="5242DBD1" w14:textId="412B026B" w:rsidR="00773026" w:rsidRPr="00E140EF" w:rsidRDefault="00773026" w:rsidP="00773026">
      <w:pPr>
        <w:tabs>
          <w:tab w:val="right" w:leader="dot" w:pos="9346"/>
        </w:tabs>
        <w:ind w:left="360"/>
        <w:rPr>
          <w:rFonts w:eastAsiaTheme="minorHAnsi"/>
          <w:szCs w:val="24"/>
        </w:rPr>
      </w:pPr>
      <w:r w:rsidRPr="00E140EF">
        <w:rPr>
          <w:rFonts w:eastAsiaTheme="minorHAnsi"/>
          <w:szCs w:val="24"/>
        </w:rPr>
        <w:t xml:space="preserve">708 F.3d 163 (3d Cir. 2013) </w:t>
      </w:r>
      <w:r w:rsidRPr="00E140EF">
        <w:rPr>
          <w:rFonts w:eastAsiaTheme="minorHAnsi"/>
          <w:szCs w:val="24"/>
        </w:rPr>
        <w:tab/>
        <w:t xml:space="preserve"> 18, 2</w:t>
      </w:r>
      <w:r w:rsidR="00E140EF" w:rsidRPr="00E140EF">
        <w:rPr>
          <w:rFonts w:eastAsiaTheme="minorHAnsi"/>
          <w:szCs w:val="24"/>
        </w:rPr>
        <w:t>2</w:t>
      </w:r>
    </w:p>
    <w:p w14:paraId="69F7BA2A" w14:textId="77777777" w:rsidR="00773026" w:rsidRPr="00E140EF" w:rsidRDefault="00773026" w:rsidP="00773026">
      <w:pPr>
        <w:tabs>
          <w:tab w:val="right" w:leader="dot" w:pos="9346"/>
        </w:tabs>
        <w:rPr>
          <w:rFonts w:eastAsiaTheme="minorHAnsi"/>
          <w:i/>
          <w:iCs/>
          <w:szCs w:val="24"/>
        </w:rPr>
      </w:pPr>
    </w:p>
    <w:p w14:paraId="5FADC3E8" w14:textId="77777777" w:rsidR="00773026" w:rsidRPr="00E140EF" w:rsidRDefault="00773026" w:rsidP="00773026">
      <w:pPr>
        <w:tabs>
          <w:tab w:val="right" w:leader="dot" w:pos="9346"/>
        </w:tabs>
        <w:rPr>
          <w:rFonts w:eastAsiaTheme="minorHAnsi"/>
          <w:szCs w:val="24"/>
        </w:rPr>
      </w:pPr>
      <w:r w:rsidRPr="00E140EF">
        <w:rPr>
          <w:rFonts w:eastAsiaTheme="minorHAnsi"/>
          <w:i/>
          <w:iCs/>
          <w:szCs w:val="24"/>
        </w:rPr>
        <w:t xml:space="preserve">In re Diet Drugs (Phentermine, Fenfluramine, Dexfenfluramine) Prods. </w:t>
      </w:r>
      <w:proofErr w:type="spellStart"/>
      <w:r w:rsidRPr="00E140EF">
        <w:rPr>
          <w:rFonts w:eastAsiaTheme="minorHAnsi"/>
          <w:i/>
          <w:iCs/>
          <w:szCs w:val="24"/>
        </w:rPr>
        <w:t>Liab</w:t>
      </w:r>
      <w:proofErr w:type="spellEnd"/>
      <w:r w:rsidRPr="00E140EF">
        <w:rPr>
          <w:rFonts w:eastAsiaTheme="minorHAnsi"/>
          <w:i/>
          <w:iCs/>
          <w:szCs w:val="24"/>
        </w:rPr>
        <w:t>. Litig.</w:t>
      </w:r>
      <w:r w:rsidRPr="00E140EF">
        <w:rPr>
          <w:rFonts w:eastAsiaTheme="minorHAnsi"/>
          <w:szCs w:val="24"/>
        </w:rPr>
        <w:t xml:space="preserve">, </w:t>
      </w:r>
    </w:p>
    <w:p w14:paraId="284195A4" w14:textId="25265E2C" w:rsidR="00773026" w:rsidRPr="00E140EF" w:rsidRDefault="00773026" w:rsidP="00773026">
      <w:pPr>
        <w:tabs>
          <w:tab w:val="right" w:leader="dot" w:pos="9346"/>
        </w:tabs>
        <w:ind w:left="360"/>
        <w:rPr>
          <w:rFonts w:eastAsiaTheme="minorHAnsi"/>
          <w:szCs w:val="24"/>
        </w:rPr>
      </w:pPr>
      <w:r w:rsidRPr="00E140EF">
        <w:rPr>
          <w:rFonts w:eastAsiaTheme="minorHAnsi"/>
          <w:szCs w:val="24"/>
        </w:rPr>
        <w:t xml:space="preserve">226 F.R.D. 498 (E.D. Pa. 2005) </w:t>
      </w:r>
      <w:r w:rsidRPr="00E140EF">
        <w:rPr>
          <w:rFonts w:eastAsiaTheme="minorHAnsi"/>
          <w:szCs w:val="24"/>
        </w:rPr>
        <w:tab/>
        <w:t xml:space="preserve"> 2</w:t>
      </w:r>
      <w:r w:rsidR="00E140EF" w:rsidRPr="00E140EF">
        <w:rPr>
          <w:rFonts w:eastAsiaTheme="minorHAnsi"/>
          <w:szCs w:val="24"/>
        </w:rPr>
        <w:t>2</w:t>
      </w:r>
    </w:p>
    <w:p w14:paraId="77167FCE" w14:textId="77777777" w:rsidR="00773026" w:rsidRPr="00E140EF" w:rsidRDefault="00773026" w:rsidP="00773026">
      <w:pPr>
        <w:tabs>
          <w:tab w:val="right" w:leader="dot" w:pos="9346"/>
        </w:tabs>
        <w:rPr>
          <w:rFonts w:eastAsiaTheme="minorHAnsi"/>
          <w:i/>
          <w:szCs w:val="24"/>
        </w:rPr>
      </w:pPr>
    </w:p>
    <w:p w14:paraId="3531E9C3" w14:textId="77777777" w:rsidR="00773026" w:rsidRPr="00E140EF" w:rsidRDefault="00773026" w:rsidP="00773026">
      <w:pPr>
        <w:tabs>
          <w:tab w:val="right" w:leader="dot" w:pos="9346"/>
        </w:tabs>
        <w:rPr>
          <w:rFonts w:eastAsiaTheme="minorHAnsi"/>
          <w:iCs/>
          <w:szCs w:val="24"/>
        </w:rPr>
      </w:pPr>
      <w:r w:rsidRPr="00E140EF">
        <w:rPr>
          <w:rFonts w:eastAsiaTheme="minorHAnsi"/>
          <w:i/>
          <w:szCs w:val="24"/>
        </w:rPr>
        <w:t>In re Google Inc. Cookie Placement Consumer Privacy Litig</w:t>
      </w:r>
      <w:r w:rsidRPr="00E140EF">
        <w:rPr>
          <w:rFonts w:eastAsiaTheme="minorHAnsi"/>
          <w:iCs/>
          <w:szCs w:val="24"/>
        </w:rPr>
        <w:t xml:space="preserve">., </w:t>
      </w:r>
    </w:p>
    <w:p w14:paraId="56E1B548" w14:textId="73F891CA" w:rsidR="00773026" w:rsidRPr="00E140EF" w:rsidRDefault="00773026" w:rsidP="00773026">
      <w:pPr>
        <w:tabs>
          <w:tab w:val="right" w:leader="dot" w:pos="9346"/>
        </w:tabs>
        <w:ind w:left="360"/>
        <w:rPr>
          <w:rFonts w:eastAsiaTheme="minorHAnsi"/>
          <w:szCs w:val="24"/>
        </w:rPr>
      </w:pPr>
      <w:r w:rsidRPr="00E140EF">
        <w:rPr>
          <w:rFonts w:eastAsiaTheme="minorHAnsi"/>
          <w:iCs/>
          <w:szCs w:val="24"/>
        </w:rPr>
        <w:t xml:space="preserve">934 F.3d 316 (3d Cir. 2019) </w:t>
      </w:r>
      <w:r w:rsidRPr="00E140EF">
        <w:rPr>
          <w:rFonts w:eastAsiaTheme="minorHAnsi"/>
          <w:iCs/>
          <w:szCs w:val="24"/>
        </w:rPr>
        <w:tab/>
        <w:t xml:space="preserve"> 1</w:t>
      </w:r>
      <w:r w:rsidR="00E140EF" w:rsidRPr="00E140EF">
        <w:rPr>
          <w:rFonts w:eastAsiaTheme="minorHAnsi"/>
          <w:iCs/>
          <w:szCs w:val="24"/>
        </w:rPr>
        <w:t>5</w:t>
      </w:r>
    </w:p>
    <w:p w14:paraId="2BF46406" w14:textId="77777777" w:rsidR="00773026" w:rsidRPr="00E04154" w:rsidRDefault="00773026" w:rsidP="00773026">
      <w:pPr>
        <w:tabs>
          <w:tab w:val="right" w:leader="dot" w:pos="9346"/>
        </w:tabs>
        <w:rPr>
          <w:rFonts w:eastAsiaTheme="minorHAnsi"/>
          <w:i/>
          <w:iCs/>
          <w:szCs w:val="24"/>
        </w:rPr>
      </w:pPr>
    </w:p>
    <w:p w14:paraId="59ADFDFD"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t>In re NFL Players Concussion Injury Litig</w:t>
      </w:r>
      <w:r w:rsidRPr="00E04154">
        <w:rPr>
          <w:rFonts w:eastAsiaTheme="minorHAnsi"/>
          <w:szCs w:val="24"/>
        </w:rPr>
        <w:t xml:space="preserve">., </w:t>
      </w:r>
    </w:p>
    <w:p w14:paraId="02F5BB84" w14:textId="77777777"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821 F.3d 410 (3d Cir. 2016) </w:t>
      </w:r>
      <w:r w:rsidRPr="00E04154">
        <w:rPr>
          <w:rFonts w:eastAsiaTheme="minorHAnsi"/>
          <w:szCs w:val="24"/>
        </w:rPr>
        <w:tab/>
        <w:t xml:space="preserve"> </w:t>
      </w:r>
      <w:r w:rsidRPr="00E04154">
        <w:rPr>
          <w:rFonts w:eastAsiaTheme="minorHAnsi"/>
          <w:i/>
          <w:iCs/>
          <w:szCs w:val="24"/>
        </w:rPr>
        <w:t>passim</w:t>
      </w:r>
    </w:p>
    <w:p w14:paraId="282759F2" w14:textId="77777777" w:rsidR="00773026" w:rsidRPr="00E04154" w:rsidRDefault="00773026" w:rsidP="00773026">
      <w:pPr>
        <w:tabs>
          <w:tab w:val="right" w:leader="dot" w:pos="9346"/>
        </w:tabs>
        <w:rPr>
          <w:rFonts w:eastAsiaTheme="minorHAnsi"/>
          <w:i/>
          <w:szCs w:val="24"/>
        </w:rPr>
      </w:pPr>
    </w:p>
    <w:p w14:paraId="08B26C17" w14:textId="77777777" w:rsidR="00773026" w:rsidRPr="00E04154" w:rsidRDefault="00773026" w:rsidP="00773026">
      <w:pPr>
        <w:tabs>
          <w:tab w:val="right" w:leader="dot" w:pos="9346"/>
        </w:tabs>
        <w:rPr>
          <w:rFonts w:eastAsiaTheme="minorHAnsi"/>
          <w:iCs/>
          <w:szCs w:val="24"/>
        </w:rPr>
      </w:pPr>
      <w:r w:rsidRPr="00E04154">
        <w:rPr>
          <w:rFonts w:eastAsiaTheme="minorHAnsi"/>
          <w:i/>
          <w:szCs w:val="24"/>
        </w:rPr>
        <w:t>In re NFL Players’ Concussion Injury Litig.</w:t>
      </w:r>
      <w:r w:rsidRPr="00E04154">
        <w:rPr>
          <w:rFonts w:eastAsiaTheme="minorHAnsi"/>
          <w:iCs/>
          <w:szCs w:val="24"/>
        </w:rPr>
        <w:t xml:space="preserve">, </w:t>
      </w:r>
    </w:p>
    <w:p w14:paraId="3FE96A4C" w14:textId="5A18CBF3" w:rsidR="00773026" w:rsidRPr="00E04154" w:rsidRDefault="00773026" w:rsidP="00773026">
      <w:pPr>
        <w:tabs>
          <w:tab w:val="right" w:leader="dot" w:pos="9346"/>
        </w:tabs>
        <w:ind w:left="360"/>
        <w:rPr>
          <w:rFonts w:eastAsiaTheme="minorHAnsi"/>
          <w:szCs w:val="24"/>
        </w:rPr>
      </w:pPr>
      <w:r w:rsidRPr="00E04154">
        <w:rPr>
          <w:rFonts w:eastAsiaTheme="minorHAnsi"/>
          <w:iCs/>
          <w:szCs w:val="24"/>
        </w:rPr>
        <w:t xml:space="preserve">961 F. Supp. 2d 708 (E.D. Pa. 2014) </w:t>
      </w:r>
      <w:r w:rsidRPr="00E04154">
        <w:rPr>
          <w:rFonts w:eastAsiaTheme="minorHAnsi"/>
          <w:iCs/>
          <w:szCs w:val="24"/>
        </w:rPr>
        <w:tab/>
        <w:t xml:space="preserve"> </w:t>
      </w:r>
      <w:r w:rsidR="00E04154" w:rsidRPr="00E04154">
        <w:rPr>
          <w:rFonts w:eastAsiaTheme="minorHAnsi"/>
          <w:iCs/>
          <w:szCs w:val="24"/>
        </w:rPr>
        <w:t>8</w:t>
      </w:r>
    </w:p>
    <w:p w14:paraId="789FCB6F" w14:textId="77777777" w:rsidR="00773026" w:rsidRPr="00E04154" w:rsidRDefault="00773026" w:rsidP="00773026">
      <w:pPr>
        <w:tabs>
          <w:tab w:val="right" w:leader="dot" w:pos="9346"/>
        </w:tabs>
        <w:rPr>
          <w:rFonts w:eastAsiaTheme="minorHAnsi"/>
          <w:i/>
          <w:iCs/>
          <w:szCs w:val="24"/>
        </w:rPr>
      </w:pPr>
    </w:p>
    <w:p w14:paraId="254C5BC2"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t>In re Pet Food Prods. Liability Litig.</w:t>
      </w:r>
      <w:r w:rsidRPr="00E04154">
        <w:rPr>
          <w:rFonts w:eastAsiaTheme="minorHAnsi"/>
          <w:szCs w:val="24"/>
        </w:rPr>
        <w:t xml:space="preserve">, </w:t>
      </w:r>
    </w:p>
    <w:p w14:paraId="7D68F3D2" w14:textId="4CB02435"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629 F.3d 333 (3d Cir. 2010) </w:t>
      </w:r>
      <w:r w:rsidRPr="00E04154">
        <w:rPr>
          <w:rFonts w:eastAsiaTheme="minorHAnsi"/>
          <w:szCs w:val="24"/>
        </w:rPr>
        <w:tab/>
        <w:t xml:space="preserve"> 1</w:t>
      </w:r>
      <w:r w:rsidR="00E04154" w:rsidRPr="00E04154">
        <w:rPr>
          <w:rFonts w:eastAsiaTheme="minorHAnsi"/>
          <w:szCs w:val="24"/>
        </w:rPr>
        <w:t>7</w:t>
      </w:r>
    </w:p>
    <w:p w14:paraId="3E5EB108" w14:textId="77777777" w:rsidR="00773026" w:rsidRPr="00E04154" w:rsidRDefault="00773026" w:rsidP="00773026">
      <w:pPr>
        <w:tabs>
          <w:tab w:val="right" w:leader="dot" w:pos="9346"/>
        </w:tabs>
        <w:rPr>
          <w:rFonts w:eastAsiaTheme="minorHAnsi"/>
          <w:i/>
          <w:iCs/>
          <w:szCs w:val="24"/>
        </w:rPr>
      </w:pPr>
    </w:p>
    <w:p w14:paraId="51BA4F8E"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t>In re Processed Egg Prods. Antitrust Litig</w:t>
      </w:r>
      <w:r w:rsidRPr="00E04154">
        <w:rPr>
          <w:rFonts w:eastAsiaTheme="minorHAnsi"/>
          <w:szCs w:val="24"/>
        </w:rPr>
        <w:t xml:space="preserve">., </w:t>
      </w:r>
    </w:p>
    <w:p w14:paraId="738AD7A5" w14:textId="25BFE076"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302 F.R.D. 339 (E.D. Pa. 2014) </w:t>
      </w:r>
      <w:r w:rsidRPr="00E04154">
        <w:rPr>
          <w:rFonts w:eastAsiaTheme="minorHAnsi"/>
          <w:szCs w:val="24"/>
        </w:rPr>
        <w:tab/>
        <w:t xml:space="preserve"> 2</w:t>
      </w:r>
      <w:r w:rsidR="00E04154" w:rsidRPr="00E04154">
        <w:rPr>
          <w:rFonts w:eastAsiaTheme="minorHAnsi"/>
          <w:szCs w:val="24"/>
        </w:rPr>
        <w:t>2</w:t>
      </w:r>
    </w:p>
    <w:p w14:paraId="307FC5B6" w14:textId="77777777" w:rsidR="00773026" w:rsidRPr="00E04154" w:rsidRDefault="00773026" w:rsidP="00773026">
      <w:pPr>
        <w:tabs>
          <w:tab w:val="right" w:leader="dot" w:pos="9346"/>
        </w:tabs>
        <w:rPr>
          <w:rFonts w:eastAsiaTheme="minorHAnsi"/>
          <w:i/>
          <w:iCs/>
          <w:szCs w:val="24"/>
        </w:rPr>
      </w:pPr>
    </w:p>
    <w:p w14:paraId="30D098D5"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t>In re Prudential Ins. Co. Am. Sales Practice Litig. Agent Actions</w:t>
      </w:r>
      <w:r w:rsidRPr="00E04154">
        <w:rPr>
          <w:rFonts w:eastAsiaTheme="minorHAnsi"/>
          <w:szCs w:val="24"/>
        </w:rPr>
        <w:t xml:space="preserve">, </w:t>
      </w:r>
    </w:p>
    <w:p w14:paraId="4D83E251" w14:textId="6D7740DD"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148 F.3d 283 (3d Cir. 1998) </w:t>
      </w:r>
      <w:r w:rsidRPr="00E04154">
        <w:rPr>
          <w:rFonts w:eastAsiaTheme="minorHAnsi"/>
          <w:szCs w:val="24"/>
        </w:rPr>
        <w:tab/>
        <w:t xml:space="preserve"> 15, 18, 2</w:t>
      </w:r>
      <w:r w:rsidR="00E04154" w:rsidRPr="00E04154">
        <w:rPr>
          <w:rFonts w:eastAsiaTheme="minorHAnsi"/>
          <w:szCs w:val="24"/>
        </w:rPr>
        <w:t>1</w:t>
      </w:r>
      <w:r w:rsidRPr="00E04154">
        <w:rPr>
          <w:rFonts w:eastAsiaTheme="minorHAnsi"/>
          <w:szCs w:val="24"/>
        </w:rPr>
        <w:t>, 2</w:t>
      </w:r>
      <w:r w:rsidR="00E04154" w:rsidRPr="00E04154">
        <w:rPr>
          <w:rFonts w:eastAsiaTheme="minorHAnsi"/>
          <w:szCs w:val="24"/>
        </w:rPr>
        <w:t>2</w:t>
      </w:r>
    </w:p>
    <w:p w14:paraId="578E2D71" w14:textId="3C1CCE4F" w:rsidR="00773026" w:rsidRPr="00E04154" w:rsidRDefault="00773026" w:rsidP="00773026">
      <w:pPr>
        <w:tabs>
          <w:tab w:val="right" w:leader="dot" w:pos="9346"/>
        </w:tabs>
        <w:rPr>
          <w:rFonts w:eastAsiaTheme="minorHAnsi"/>
          <w:i/>
          <w:iCs/>
          <w:szCs w:val="24"/>
        </w:rPr>
      </w:pPr>
    </w:p>
    <w:p w14:paraId="382390BB" w14:textId="77777777" w:rsidR="00E856EB" w:rsidRPr="00E04154" w:rsidRDefault="00E856EB" w:rsidP="00773026">
      <w:pPr>
        <w:tabs>
          <w:tab w:val="right" w:leader="dot" w:pos="9346"/>
        </w:tabs>
        <w:rPr>
          <w:rFonts w:eastAsiaTheme="minorHAnsi"/>
          <w:i/>
          <w:iCs/>
          <w:szCs w:val="24"/>
        </w:rPr>
      </w:pPr>
    </w:p>
    <w:p w14:paraId="04723719"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lastRenderedPageBreak/>
        <w:t>In re Prudential Ins. Co. Of Am. Sales Practice Litig.</w:t>
      </w:r>
      <w:r w:rsidRPr="00E04154">
        <w:rPr>
          <w:rFonts w:eastAsiaTheme="minorHAnsi"/>
          <w:szCs w:val="24"/>
        </w:rPr>
        <w:t xml:space="preserve">, </w:t>
      </w:r>
    </w:p>
    <w:p w14:paraId="2CB874E7" w14:textId="1C80F62D"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261 F.3d 355 (3d Cir. 2001) </w:t>
      </w:r>
      <w:r w:rsidRPr="00E04154">
        <w:rPr>
          <w:rFonts w:eastAsiaTheme="minorHAnsi"/>
          <w:szCs w:val="24"/>
        </w:rPr>
        <w:tab/>
        <w:t xml:space="preserve"> 6</w:t>
      </w:r>
    </w:p>
    <w:p w14:paraId="3B698BF3" w14:textId="77777777" w:rsidR="00773026" w:rsidRPr="00E04154" w:rsidRDefault="00773026" w:rsidP="00773026">
      <w:pPr>
        <w:tabs>
          <w:tab w:val="right" w:leader="dot" w:pos="9346"/>
        </w:tabs>
        <w:rPr>
          <w:rFonts w:eastAsiaTheme="minorHAnsi"/>
          <w:i/>
          <w:szCs w:val="24"/>
        </w:rPr>
      </w:pPr>
    </w:p>
    <w:p w14:paraId="5B2AAE6F" w14:textId="77777777" w:rsidR="00773026" w:rsidRPr="00E04154" w:rsidRDefault="00773026" w:rsidP="00773026">
      <w:pPr>
        <w:tabs>
          <w:tab w:val="right" w:leader="dot" w:pos="9346"/>
        </w:tabs>
        <w:rPr>
          <w:rFonts w:eastAsiaTheme="minorHAnsi"/>
          <w:iCs/>
          <w:szCs w:val="24"/>
        </w:rPr>
      </w:pPr>
      <w:r w:rsidRPr="00E04154">
        <w:rPr>
          <w:rFonts w:eastAsiaTheme="minorHAnsi"/>
          <w:i/>
          <w:szCs w:val="24"/>
        </w:rPr>
        <w:t>In re Warfarin Sodium Antitrust Litig</w:t>
      </w:r>
      <w:r w:rsidRPr="00E04154">
        <w:rPr>
          <w:rFonts w:eastAsiaTheme="minorHAnsi"/>
          <w:iCs/>
          <w:szCs w:val="24"/>
        </w:rPr>
        <w:t xml:space="preserve">., </w:t>
      </w:r>
    </w:p>
    <w:p w14:paraId="0F72CB44" w14:textId="77777777" w:rsidR="00773026" w:rsidRPr="00E04154" w:rsidRDefault="00773026" w:rsidP="00773026">
      <w:pPr>
        <w:tabs>
          <w:tab w:val="right" w:leader="dot" w:pos="9346"/>
        </w:tabs>
        <w:ind w:left="360"/>
        <w:rPr>
          <w:rFonts w:eastAsiaTheme="minorHAnsi"/>
          <w:szCs w:val="24"/>
        </w:rPr>
      </w:pPr>
      <w:r w:rsidRPr="00E04154">
        <w:rPr>
          <w:rFonts w:eastAsiaTheme="minorHAnsi"/>
          <w:iCs/>
          <w:szCs w:val="24"/>
        </w:rPr>
        <w:t xml:space="preserve">391 F.3d 516 (3d Cir. 2004) </w:t>
      </w:r>
      <w:r w:rsidRPr="00E04154">
        <w:rPr>
          <w:rFonts w:eastAsiaTheme="minorHAnsi"/>
          <w:iCs/>
          <w:szCs w:val="24"/>
        </w:rPr>
        <w:tab/>
        <w:t xml:space="preserve"> 9</w:t>
      </w:r>
    </w:p>
    <w:p w14:paraId="41ECBB9B" w14:textId="77777777" w:rsidR="00773026" w:rsidRPr="00E04154" w:rsidRDefault="00773026" w:rsidP="00773026">
      <w:pPr>
        <w:tabs>
          <w:tab w:val="right" w:leader="dot" w:pos="9346"/>
        </w:tabs>
        <w:rPr>
          <w:rFonts w:eastAsiaTheme="minorHAnsi"/>
          <w:i/>
          <w:iCs/>
          <w:szCs w:val="24"/>
        </w:rPr>
      </w:pPr>
    </w:p>
    <w:p w14:paraId="31E60339"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t>Kaplan v. Chertoff</w:t>
      </w:r>
      <w:r w:rsidRPr="00E04154">
        <w:rPr>
          <w:rFonts w:eastAsiaTheme="minorHAnsi"/>
          <w:szCs w:val="24"/>
        </w:rPr>
        <w:t xml:space="preserve">, No. 06-cv-05304, </w:t>
      </w:r>
    </w:p>
    <w:p w14:paraId="60167A58" w14:textId="27BA9AB0"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2008 U.S. Dist. LEXIS 5082 (E.D. Pa. Jan. 24, 2008) </w:t>
      </w:r>
      <w:r w:rsidRPr="00E04154">
        <w:rPr>
          <w:rFonts w:eastAsiaTheme="minorHAnsi"/>
          <w:szCs w:val="24"/>
        </w:rPr>
        <w:tab/>
        <w:t xml:space="preserve"> 22</w:t>
      </w:r>
    </w:p>
    <w:p w14:paraId="59607D99" w14:textId="77777777" w:rsidR="00773026" w:rsidRPr="00E04154" w:rsidRDefault="00773026" w:rsidP="00773026">
      <w:pPr>
        <w:tabs>
          <w:tab w:val="right" w:leader="dot" w:pos="9346"/>
        </w:tabs>
        <w:rPr>
          <w:rFonts w:eastAsiaTheme="minorHAnsi"/>
          <w:i/>
          <w:iCs/>
          <w:szCs w:val="24"/>
        </w:rPr>
      </w:pPr>
    </w:p>
    <w:p w14:paraId="65BF4B8B"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t>Kokkonen v. Guardian Life Ins. Co. Of Am</w:t>
      </w:r>
      <w:r w:rsidRPr="00E04154">
        <w:rPr>
          <w:rFonts w:eastAsiaTheme="minorHAnsi"/>
          <w:szCs w:val="24"/>
        </w:rPr>
        <w:t xml:space="preserve">., </w:t>
      </w:r>
    </w:p>
    <w:p w14:paraId="76C20216" w14:textId="77777777"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511 U.S. 375 (1994) </w:t>
      </w:r>
      <w:r w:rsidRPr="00E04154">
        <w:rPr>
          <w:rFonts w:eastAsiaTheme="minorHAnsi"/>
          <w:szCs w:val="24"/>
        </w:rPr>
        <w:tab/>
        <w:t xml:space="preserve"> 8</w:t>
      </w:r>
    </w:p>
    <w:p w14:paraId="0BD70A18" w14:textId="77777777" w:rsidR="00773026" w:rsidRPr="00662BD5" w:rsidRDefault="00773026" w:rsidP="00773026">
      <w:pPr>
        <w:tabs>
          <w:tab w:val="right" w:leader="dot" w:pos="9346"/>
        </w:tabs>
        <w:rPr>
          <w:rFonts w:eastAsiaTheme="minorHAnsi"/>
          <w:i/>
          <w:iCs/>
          <w:szCs w:val="24"/>
          <w:highlight w:val="yellow"/>
        </w:rPr>
      </w:pPr>
    </w:p>
    <w:p w14:paraId="53AAF72F" w14:textId="77777777" w:rsidR="00773026" w:rsidRPr="00E04154" w:rsidRDefault="00773026" w:rsidP="00773026">
      <w:pPr>
        <w:tabs>
          <w:tab w:val="right" w:leader="dot" w:pos="9346"/>
        </w:tabs>
        <w:rPr>
          <w:rFonts w:eastAsiaTheme="minorHAnsi"/>
          <w:szCs w:val="24"/>
        </w:rPr>
      </w:pPr>
      <w:proofErr w:type="spellStart"/>
      <w:r w:rsidRPr="00E04154">
        <w:rPr>
          <w:rFonts w:eastAsiaTheme="minorHAnsi"/>
          <w:i/>
          <w:iCs/>
          <w:szCs w:val="24"/>
        </w:rPr>
        <w:t>Kyriazi</w:t>
      </w:r>
      <w:proofErr w:type="spellEnd"/>
      <w:r w:rsidRPr="00E04154">
        <w:rPr>
          <w:rFonts w:eastAsiaTheme="minorHAnsi"/>
          <w:i/>
          <w:iCs/>
          <w:szCs w:val="24"/>
        </w:rPr>
        <w:t xml:space="preserve"> v. W. Elec. Co</w:t>
      </w:r>
      <w:r w:rsidRPr="00E04154">
        <w:rPr>
          <w:rFonts w:eastAsiaTheme="minorHAnsi"/>
          <w:szCs w:val="24"/>
        </w:rPr>
        <w:t xml:space="preserve">., </w:t>
      </w:r>
    </w:p>
    <w:p w14:paraId="60D9B651" w14:textId="232144FB"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647 F.2d 388 (3d Cir. 1981) </w:t>
      </w:r>
      <w:r w:rsidRPr="00E04154">
        <w:rPr>
          <w:rFonts w:eastAsiaTheme="minorHAnsi"/>
          <w:szCs w:val="24"/>
        </w:rPr>
        <w:tab/>
        <w:t xml:space="preserve"> 2</w:t>
      </w:r>
      <w:r w:rsidR="00E04154" w:rsidRPr="00E04154">
        <w:rPr>
          <w:rFonts w:eastAsiaTheme="minorHAnsi"/>
          <w:szCs w:val="24"/>
        </w:rPr>
        <w:t>2</w:t>
      </w:r>
    </w:p>
    <w:p w14:paraId="1B341F04" w14:textId="77777777" w:rsidR="00773026" w:rsidRPr="00E04154" w:rsidRDefault="00773026" w:rsidP="00773026">
      <w:pPr>
        <w:tabs>
          <w:tab w:val="right" w:leader="dot" w:pos="9346"/>
        </w:tabs>
        <w:rPr>
          <w:rFonts w:eastAsiaTheme="minorHAnsi"/>
          <w:i/>
          <w:iCs/>
          <w:szCs w:val="24"/>
        </w:rPr>
      </w:pPr>
    </w:p>
    <w:p w14:paraId="39968AE9" w14:textId="77777777" w:rsidR="00773026" w:rsidRPr="00E04154" w:rsidRDefault="00773026" w:rsidP="00773026">
      <w:pPr>
        <w:tabs>
          <w:tab w:val="right" w:leader="dot" w:pos="9346"/>
        </w:tabs>
        <w:rPr>
          <w:rFonts w:eastAsiaTheme="minorHAnsi"/>
          <w:szCs w:val="24"/>
        </w:rPr>
      </w:pPr>
      <w:proofErr w:type="spellStart"/>
      <w:r w:rsidRPr="00E04154">
        <w:rPr>
          <w:rFonts w:eastAsiaTheme="minorHAnsi"/>
          <w:i/>
          <w:iCs/>
          <w:szCs w:val="24"/>
        </w:rPr>
        <w:t>Metts</w:t>
      </w:r>
      <w:proofErr w:type="spellEnd"/>
      <w:r w:rsidRPr="00E04154">
        <w:rPr>
          <w:rFonts w:eastAsiaTheme="minorHAnsi"/>
          <w:i/>
          <w:iCs/>
          <w:szCs w:val="24"/>
        </w:rPr>
        <w:t xml:space="preserve"> v. </w:t>
      </w:r>
      <w:proofErr w:type="spellStart"/>
      <w:r w:rsidRPr="00E04154">
        <w:rPr>
          <w:rFonts w:eastAsiaTheme="minorHAnsi"/>
          <w:i/>
          <w:iCs/>
          <w:szCs w:val="24"/>
        </w:rPr>
        <w:t>Houstoun</w:t>
      </w:r>
      <w:proofErr w:type="spellEnd"/>
      <w:r w:rsidRPr="00E04154">
        <w:rPr>
          <w:rFonts w:eastAsiaTheme="minorHAnsi"/>
          <w:szCs w:val="24"/>
        </w:rPr>
        <w:t xml:space="preserve">, No. 97-cv-04123, </w:t>
      </w:r>
    </w:p>
    <w:p w14:paraId="5F5BD7CC" w14:textId="56012929"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1997 U.S. Dist. LEXIS 16737 (E.D. Pa. Oct. 24, 1997) </w:t>
      </w:r>
      <w:r w:rsidRPr="00E04154">
        <w:rPr>
          <w:rFonts w:eastAsiaTheme="minorHAnsi"/>
          <w:szCs w:val="24"/>
        </w:rPr>
        <w:tab/>
        <w:t xml:space="preserve"> 1</w:t>
      </w:r>
      <w:r w:rsidR="00E04154" w:rsidRPr="00E04154">
        <w:rPr>
          <w:rFonts w:eastAsiaTheme="minorHAnsi"/>
          <w:szCs w:val="24"/>
        </w:rPr>
        <w:t>2</w:t>
      </w:r>
    </w:p>
    <w:p w14:paraId="61728E11" w14:textId="77777777" w:rsidR="00773026" w:rsidRPr="00E04154" w:rsidRDefault="00773026" w:rsidP="00773026">
      <w:pPr>
        <w:tabs>
          <w:tab w:val="right" w:leader="dot" w:pos="9346"/>
        </w:tabs>
        <w:rPr>
          <w:rFonts w:eastAsiaTheme="minorHAnsi"/>
          <w:i/>
          <w:iCs/>
          <w:szCs w:val="24"/>
        </w:rPr>
      </w:pPr>
    </w:p>
    <w:p w14:paraId="02C0FDAB"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t>Mulder v. PCS Health Sys., Inc</w:t>
      </w:r>
      <w:r w:rsidRPr="00E04154">
        <w:rPr>
          <w:rFonts w:eastAsiaTheme="minorHAnsi"/>
          <w:szCs w:val="24"/>
        </w:rPr>
        <w:t xml:space="preserve">., </w:t>
      </w:r>
    </w:p>
    <w:p w14:paraId="40D03448" w14:textId="3AA6E3D8"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216 F.R.D. 307 (D.N.J. 2003) </w:t>
      </w:r>
      <w:r w:rsidRPr="00E04154">
        <w:rPr>
          <w:rFonts w:eastAsiaTheme="minorHAnsi"/>
          <w:szCs w:val="24"/>
        </w:rPr>
        <w:tab/>
        <w:t xml:space="preserve"> 2</w:t>
      </w:r>
      <w:r w:rsidR="00E04154" w:rsidRPr="00E04154">
        <w:rPr>
          <w:rFonts w:eastAsiaTheme="minorHAnsi"/>
          <w:szCs w:val="24"/>
        </w:rPr>
        <w:t>2</w:t>
      </w:r>
    </w:p>
    <w:p w14:paraId="0E72799D" w14:textId="77777777" w:rsidR="00773026" w:rsidRPr="00E04154" w:rsidRDefault="00773026" w:rsidP="00773026">
      <w:pPr>
        <w:tabs>
          <w:tab w:val="right" w:leader="dot" w:pos="9346"/>
        </w:tabs>
        <w:rPr>
          <w:rFonts w:eastAsiaTheme="minorHAnsi"/>
          <w:i/>
          <w:iCs/>
          <w:szCs w:val="24"/>
        </w:rPr>
      </w:pPr>
    </w:p>
    <w:p w14:paraId="58B04324"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t>Phila. Elec. Co. v. Anaconda Am. Brass Co.</w:t>
      </w:r>
      <w:r w:rsidRPr="00E04154">
        <w:rPr>
          <w:rFonts w:eastAsiaTheme="minorHAnsi"/>
          <w:szCs w:val="24"/>
        </w:rPr>
        <w:t xml:space="preserve">, </w:t>
      </w:r>
    </w:p>
    <w:p w14:paraId="7D0CA460" w14:textId="11C21FC0"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43 F.R.D. 452 (E.D. Pa. 1968) </w:t>
      </w:r>
      <w:r w:rsidRPr="00E04154">
        <w:rPr>
          <w:rFonts w:eastAsiaTheme="minorHAnsi"/>
          <w:szCs w:val="24"/>
        </w:rPr>
        <w:tab/>
        <w:t xml:space="preserve"> </w:t>
      </w:r>
      <w:r w:rsidR="00E04154" w:rsidRPr="00E04154">
        <w:rPr>
          <w:rFonts w:eastAsiaTheme="minorHAnsi"/>
          <w:szCs w:val="24"/>
        </w:rPr>
        <w:t>9</w:t>
      </w:r>
    </w:p>
    <w:p w14:paraId="690AF115" w14:textId="77777777" w:rsidR="00773026" w:rsidRPr="00E04154" w:rsidRDefault="00773026" w:rsidP="00773026">
      <w:pPr>
        <w:tabs>
          <w:tab w:val="right" w:leader="dot" w:pos="9346"/>
        </w:tabs>
        <w:rPr>
          <w:rFonts w:eastAsiaTheme="minorHAnsi"/>
          <w:i/>
          <w:iCs/>
          <w:szCs w:val="24"/>
        </w:rPr>
      </w:pPr>
    </w:p>
    <w:p w14:paraId="63CF965B"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t>Snider v. Upjohn Co</w:t>
      </w:r>
      <w:r w:rsidRPr="00E04154">
        <w:rPr>
          <w:rFonts w:eastAsiaTheme="minorHAnsi"/>
          <w:szCs w:val="24"/>
        </w:rPr>
        <w:t xml:space="preserve">., </w:t>
      </w:r>
    </w:p>
    <w:p w14:paraId="2DC81832" w14:textId="77777777"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115 F.R.D. 536 (E.D. Pa. 1987) </w:t>
      </w:r>
      <w:r w:rsidRPr="00E04154">
        <w:rPr>
          <w:rFonts w:eastAsiaTheme="minorHAnsi"/>
          <w:szCs w:val="24"/>
        </w:rPr>
        <w:tab/>
        <w:t xml:space="preserve"> 10</w:t>
      </w:r>
    </w:p>
    <w:p w14:paraId="705508A8" w14:textId="77777777" w:rsidR="00773026" w:rsidRPr="00662BD5" w:rsidRDefault="00773026" w:rsidP="00773026">
      <w:pPr>
        <w:tabs>
          <w:tab w:val="right" w:leader="dot" w:pos="9346"/>
        </w:tabs>
        <w:rPr>
          <w:rFonts w:eastAsiaTheme="minorHAnsi"/>
          <w:i/>
          <w:iCs/>
          <w:szCs w:val="24"/>
          <w:highlight w:val="yellow"/>
        </w:rPr>
      </w:pPr>
    </w:p>
    <w:p w14:paraId="093A14B6"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t>Stewart v. Abraham</w:t>
      </w:r>
      <w:r w:rsidRPr="00E04154">
        <w:rPr>
          <w:rFonts w:eastAsiaTheme="minorHAnsi"/>
          <w:szCs w:val="24"/>
        </w:rPr>
        <w:t xml:space="preserve">, </w:t>
      </w:r>
    </w:p>
    <w:p w14:paraId="14395161" w14:textId="06BFB3D9"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275 F.3d 220 (3d Cir. 2001) </w:t>
      </w:r>
      <w:r w:rsidRPr="00E04154">
        <w:rPr>
          <w:rFonts w:eastAsiaTheme="minorHAnsi"/>
          <w:szCs w:val="24"/>
        </w:rPr>
        <w:tab/>
        <w:t xml:space="preserve"> 10, 1</w:t>
      </w:r>
      <w:r w:rsidR="00E04154" w:rsidRPr="00E04154">
        <w:rPr>
          <w:rFonts w:eastAsiaTheme="minorHAnsi"/>
          <w:szCs w:val="24"/>
        </w:rPr>
        <w:t>2</w:t>
      </w:r>
    </w:p>
    <w:p w14:paraId="75F39FBF" w14:textId="77777777" w:rsidR="00773026" w:rsidRPr="00E04154" w:rsidRDefault="00773026" w:rsidP="00773026">
      <w:pPr>
        <w:tabs>
          <w:tab w:val="right" w:leader="dot" w:pos="9346"/>
        </w:tabs>
        <w:rPr>
          <w:rFonts w:eastAsiaTheme="minorHAnsi"/>
          <w:i/>
          <w:iCs/>
          <w:szCs w:val="24"/>
        </w:rPr>
      </w:pPr>
    </w:p>
    <w:p w14:paraId="1E44545B" w14:textId="77777777" w:rsidR="00773026" w:rsidRPr="00E04154" w:rsidRDefault="00773026" w:rsidP="00773026">
      <w:pPr>
        <w:tabs>
          <w:tab w:val="right" w:leader="dot" w:pos="9346"/>
        </w:tabs>
        <w:rPr>
          <w:rFonts w:eastAsiaTheme="minorHAnsi"/>
          <w:szCs w:val="24"/>
        </w:rPr>
      </w:pPr>
      <w:r w:rsidRPr="00E04154">
        <w:rPr>
          <w:rFonts w:eastAsiaTheme="minorHAnsi"/>
          <w:i/>
          <w:iCs/>
          <w:szCs w:val="24"/>
        </w:rPr>
        <w:t>Walsh v. Great Atl. &amp; Pac. Tea Co</w:t>
      </w:r>
      <w:r w:rsidRPr="00E04154">
        <w:rPr>
          <w:rFonts w:eastAsiaTheme="minorHAnsi"/>
          <w:szCs w:val="24"/>
        </w:rPr>
        <w:t xml:space="preserve">., </w:t>
      </w:r>
    </w:p>
    <w:p w14:paraId="3E64E52D" w14:textId="00BA0440" w:rsidR="00773026" w:rsidRPr="00E04154" w:rsidRDefault="00773026" w:rsidP="00773026">
      <w:pPr>
        <w:tabs>
          <w:tab w:val="right" w:leader="dot" w:pos="9346"/>
        </w:tabs>
        <w:ind w:left="360"/>
        <w:rPr>
          <w:rFonts w:eastAsiaTheme="minorHAnsi"/>
          <w:szCs w:val="24"/>
        </w:rPr>
      </w:pPr>
      <w:r w:rsidRPr="00E04154">
        <w:rPr>
          <w:rFonts w:eastAsiaTheme="minorHAnsi"/>
          <w:szCs w:val="24"/>
        </w:rPr>
        <w:t xml:space="preserve">726 F.2d 956 (3d Cir. 1983) </w:t>
      </w:r>
      <w:r w:rsidRPr="00E04154">
        <w:rPr>
          <w:rFonts w:eastAsiaTheme="minorHAnsi"/>
          <w:szCs w:val="24"/>
        </w:rPr>
        <w:tab/>
        <w:t xml:space="preserve"> 1</w:t>
      </w:r>
      <w:r w:rsidR="00E04154" w:rsidRPr="00E04154">
        <w:rPr>
          <w:rFonts w:eastAsiaTheme="minorHAnsi"/>
          <w:szCs w:val="24"/>
        </w:rPr>
        <w:t>3</w:t>
      </w:r>
      <w:r w:rsidRPr="00E04154">
        <w:rPr>
          <w:rFonts w:eastAsiaTheme="minorHAnsi"/>
          <w:szCs w:val="24"/>
        </w:rPr>
        <w:t>, 22</w:t>
      </w:r>
    </w:p>
    <w:p w14:paraId="3FB8B914" w14:textId="77777777" w:rsidR="00773026" w:rsidRPr="00E04154" w:rsidRDefault="00773026" w:rsidP="00773026">
      <w:pPr>
        <w:tabs>
          <w:tab w:val="right" w:leader="dot" w:pos="9346"/>
        </w:tabs>
        <w:rPr>
          <w:rFonts w:eastAsiaTheme="minorHAnsi"/>
          <w:szCs w:val="24"/>
        </w:rPr>
      </w:pPr>
    </w:p>
    <w:p w14:paraId="2CA103EA" w14:textId="77777777" w:rsidR="00773026" w:rsidRPr="00E04154" w:rsidRDefault="00773026" w:rsidP="00773026">
      <w:pPr>
        <w:tabs>
          <w:tab w:val="right" w:leader="dot" w:pos="9346"/>
        </w:tabs>
        <w:rPr>
          <w:rFonts w:eastAsiaTheme="minorHAnsi"/>
          <w:b/>
          <w:bCs/>
          <w:szCs w:val="24"/>
        </w:rPr>
      </w:pPr>
      <w:r w:rsidRPr="00E04154">
        <w:rPr>
          <w:rFonts w:eastAsiaTheme="minorHAnsi"/>
          <w:b/>
          <w:bCs/>
          <w:szCs w:val="24"/>
        </w:rPr>
        <w:t>Rules</w:t>
      </w:r>
    </w:p>
    <w:p w14:paraId="38200512" w14:textId="77777777" w:rsidR="00773026" w:rsidRPr="00E04154" w:rsidRDefault="00773026" w:rsidP="00773026">
      <w:pPr>
        <w:tabs>
          <w:tab w:val="right" w:leader="dot" w:pos="9346"/>
        </w:tabs>
        <w:rPr>
          <w:rFonts w:eastAsiaTheme="minorHAnsi"/>
          <w:szCs w:val="24"/>
        </w:rPr>
      </w:pPr>
    </w:p>
    <w:p w14:paraId="3F6F4DF1" w14:textId="33DF5815"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Fed. R. Civ. P. 23(a)(1) </w:t>
      </w:r>
      <w:r w:rsidRPr="00E04154">
        <w:rPr>
          <w:rFonts w:eastAsiaTheme="minorHAnsi"/>
          <w:iCs/>
          <w:szCs w:val="24"/>
        </w:rPr>
        <w:tab/>
        <w:t xml:space="preserve"> </w:t>
      </w:r>
      <w:r w:rsidR="00E04154" w:rsidRPr="00E04154">
        <w:rPr>
          <w:rFonts w:eastAsiaTheme="minorHAnsi"/>
          <w:iCs/>
          <w:szCs w:val="24"/>
        </w:rPr>
        <w:t>9</w:t>
      </w:r>
    </w:p>
    <w:p w14:paraId="2C0DFE8E" w14:textId="77777777" w:rsidR="00773026" w:rsidRPr="00E04154" w:rsidRDefault="00773026" w:rsidP="00773026">
      <w:pPr>
        <w:tabs>
          <w:tab w:val="right" w:leader="dot" w:pos="9346"/>
        </w:tabs>
        <w:rPr>
          <w:rFonts w:eastAsiaTheme="minorHAnsi"/>
          <w:iCs/>
          <w:szCs w:val="24"/>
        </w:rPr>
      </w:pPr>
    </w:p>
    <w:p w14:paraId="2FEB458F" w14:textId="77777777"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Fed. R. Civ. P. 23(a)(2) </w:t>
      </w:r>
      <w:r w:rsidRPr="00E04154">
        <w:rPr>
          <w:rFonts w:eastAsiaTheme="minorHAnsi"/>
          <w:iCs/>
          <w:szCs w:val="24"/>
        </w:rPr>
        <w:tab/>
        <w:t xml:space="preserve"> 11</w:t>
      </w:r>
    </w:p>
    <w:p w14:paraId="6FD84CB9" w14:textId="77777777" w:rsidR="00773026" w:rsidRPr="00E04154" w:rsidRDefault="00773026" w:rsidP="00773026">
      <w:pPr>
        <w:tabs>
          <w:tab w:val="right" w:leader="dot" w:pos="9346"/>
        </w:tabs>
        <w:rPr>
          <w:rFonts w:eastAsiaTheme="minorHAnsi"/>
          <w:iCs/>
          <w:szCs w:val="24"/>
        </w:rPr>
      </w:pPr>
    </w:p>
    <w:p w14:paraId="580443E0" w14:textId="1395C55E"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Fed. R. Civ. P. 23(a)(3) </w:t>
      </w:r>
      <w:r w:rsidRPr="00E04154">
        <w:rPr>
          <w:rFonts w:eastAsiaTheme="minorHAnsi"/>
          <w:iCs/>
          <w:szCs w:val="24"/>
        </w:rPr>
        <w:tab/>
        <w:t xml:space="preserve"> 1</w:t>
      </w:r>
      <w:r w:rsidR="00E04154" w:rsidRPr="00E04154">
        <w:rPr>
          <w:rFonts w:eastAsiaTheme="minorHAnsi"/>
          <w:iCs/>
          <w:szCs w:val="24"/>
        </w:rPr>
        <w:t>1</w:t>
      </w:r>
    </w:p>
    <w:p w14:paraId="36ACCD28" w14:textId="77777777" w:rsidR="00773026" w:rsidRPr="00E04154" w:rsidRDefault="00773026" w:rsidP="00773026">
      <w:pPr>
        <w:tabs>
          <w:tab w:val="right" w:leader="dot" w:pos="9346"/>
        </w:tabs>
        <w:rPr>
          <w:rFonts w:eastAsiaTheme="minorHAnsi"/>
          <w:iCs/>
          <w:szCs w:val="24"/>
        </w:rPr>
      </w:pPr>
    </w:p>
    <w:p w14:paraId="1E4736C6" w14:textId="5CA75352"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Fed. R. Civ. P. 23(a)(4) </w:t>
      </w:r>
      <w:r w:rsidRPr="00E04154">
        <w:rPr>
          <w:rFonts w:eastAsiaTheme="minorHAnsi"/>
          <w:iCs/>
          <w:szCs w:val="24"/>
        </w:rPr>
        <w:tab/>
        <w:t xml:space="preserve"> 1</w:t>
      </w:r>
      <w:r w:rsidR="00E04154" w:rsidRPr="00E04154">
        <w:rPr>
          <w:rFonts w:eastAsiaTheme="minorHAnsi"/>
          <w:iCs/>
          <w:szCs w:val="24"/>
        </w:rPr>
        <w:t>2</w:t>
      </w:r>
    </w:p>
    <w:p w14:paraId="2D0D0919" w14:textId="77777777" w:rsidR="00773026" w:rsidRPr="00E04154" w:rsidRDefault="00773026" w:rsidP="00773026">
      <w:pPr>
        <w:tabs>
          <w:tab w:val="right" w:leader="dot" w:pos="9346"/>
        </w:tabs>
        <w:rPr>
          <w:rFonts w:eastAsiaTheme="minorHAnsi"/>
          <w:iCs/>
          <w:szCs w:val="24"/>
        </w:rPr>
      </w:pPr>
    </w:p>
    <w:p w14:paraId="6822BC47" w14:textId="64C94105"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Fed. R. Civ. P. 23(b)(2) </w:t>
      </w:r>
      <w:r w:rsidRPr="00E04154">
        <w:rPr>
          <w:rFonts w:eastAsiaTheme="minorHAnsi"/>
          <w:iCs/>
          <w:szCs w:val="24"/>
        </w:rPr>
        <w:tab/>
        <w:t xml:space="preserve"> 1</w:t>
      </w:r>
      <w:r w:rsidR="00E04154" w:rsidRPr="00E04154">
        <w:rPr>
          <w:rFonts w:eastAsiaTheme="minorHAnsi"/>
          <w:iCs/>
          <w:szCs w:val="24"/>
        </w:rPr>
        <w:t>3</w:t>
      </w:r>
    </w:p>
    <w:p w14:paraId="179DD27A" w14:textId="77777777" w:rsidR="00773026" w:rsidRPr="00E04154" w:rsidRDefault="00773026" w:rsidP="00773026">
      <w:pPr>
        <w:tabs>
          <w:tab w:val="right" w:leader="dot" w:pos="9346"/>
        </w:tabs>
        <w:rPr>
          <w:rFonts w:eastAsiaTheme="minorHAnsi"/>
          <w:iCs/>
          <w:szCs w:val="24"/>
        </w:rPr>
      </w:pPr>
    </w:p>
    <w:p w14:paraId="4CE7462B" w14:textId="2A51D6C1"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Fed. R. Civ. P. 23(c)(2) </w:t>
      </w:r>
      <w:r w:rsidRPr="00E04154">
        <w:rPr>
          <w:rFonts w:eastAsiaTheme="minorHAnsi"/>
          <w:iCs/>
          <w:szCs w:val="24"/>
        </w:rPr>
        <w:tab/>
        <w:t xml:space="preserve"> 2</w:t>
      </w:r>
      <w:r w:rsidR="00E04154" w:rsidRPr="00E04154">
        <w:rPr>
          <w:rFonts w:eastAsiaTheme="minorHAnsi"/>
          <w:iCs/>
          <w:szCs w:val="24"/>
        </w:rPr>
        <w:t>1</w:t>
      </w:r>
    </w:p>
    <w:p w14:paraId="5F7BB3B0" w14:textId="35FCDD6A" w:rsidR="00773026" w:rsidRPr="00E04154" w:rsidRDefault="00773026" w:rsidP="00773026">
      <w:pPr>
        <w:tabs>
          <w:tab w:val="right" w:leader="dot" w:pos="9346"/>
        </w:tabs>
        <w:rPr>
          <w:rFonts w:eastAsiaTheme="minorHAnsi"/>
          <w:iCs/>
          <w:szCs w:val="24"/>
        </w:rPr>
      </w:pPr>
      <w:r w:rsidRPr="00E04154">
        <w:rPr>
          <w:rFonts w:eastAsiaTheme="minorHAnsi"/>
          <w:iCs/>
          <w:szCs w:val="24"/>
        </w:rPr>
        <w:lastRenderedPageBreak/>
        <w:t xml:space="preserve">Fed. R. Civ. P. 23(e) </w:t>
      </w:r>
      <w:r w:rsidR="00E04154" w:rsidRPr="00E04154">
        <w:rPr>
          <w:rFonts w:eastAsiaTheme="minorHAnsi"/>
          <w:iCs/>
          <w:szCs w:val="24"/>
        </w:rPr>
        <w:tab/>
        <w:t xml:space="preserve"> 8</w:t>
      </w:r>
      <w:r w:rsidRPr="00E04154">
        <w:rPr>
          <w:rFonts w:eastAsiaTheme="minorHAnsi"/>
          <w:iCs/>
          <w:szCs w:val="24"/>
        </w:rPr>
        <w:t>, 1</w:t>
      </w:r>
      <w:r w:rsidR="00E04154" w:rsidRPr="00E04154">
        <w:rPr>
          <w:rFonts w:eastAsiaTheme="minorHAnsi"/>
          <w:iCs/>
          <w:szCs w:val="24"/>
        </w:rPr>
        <w:t>4</w:t>
      </w:r>
      <w:r w:rsidRPr="00E04154">
        <w:rPr>
          <w:rFonts w:eastAsiaTheme="minorHAnsi"/>
          <w:iCs/>
          <w:szCs w:val="24"/>
        </w:rPr>
        <w:t>, 2</w:t>
      </w:r>
      <w:r w:rsidR="00E04154" w:rsidRPr="00E04154">
        <w:rPr>
          <w:rFonts w:eastAsiaTheme="minorHAnsi"/>
          <w:iCs/>
          <w:szCs w:val="24"/>
        </w:rPr>
        <w:t>1</w:t>
      </w:r>
    </w:p>
    <w:p w14:paraId="27A95F80" w14:textId="77777777" w:rsidR="00773026" w:rsidRPr="00662BD5" w:rsidRDefault="00773026" w:rsidP="00773026">
      <w:pPr>
        <w:tabs>
          <w:tab w:val="right" w:leader="dot" w:pos="9346"/>
        </w:tabs>
        <w:rPr>
          <w:rFonts w:eastAsiaTheme="minorHAnsi"/>
          <w:szCs w:val="24"/>
          <w:highlight w:val="yellow"/>
        </w:rPr>
      </w:pPr>
    </w:p>
    <w:p w14:paraId="27C16EF1" w14:textId="77777777" w:rsidR="00773026" w:rsidRPr="00E04154" w:rsidRDefault="00773026" w:rsidP="00773026">
      <w:pPr>
        <w:tabs>
          <w:tab w:val="right" w:leader="dot" w:pos="9346"/>
        </w:tabs>
        <w:rPr>
          <w:rFonts w:eastAsiaTheme="minorHAnsi"/>
          <w:b/>
          <w:bCs/>
          <w:szCs w:val="24"/>
          <w:u w:val="single"/>
        </w:rPr>
      </w:pPr>
      <w:r w:rsidRPr="00E04154">
        <w:rPr>
          <w:rFonts w:eastAsiaTheme="minorHAnsi"/>
          <w:b/>
          <w:bCs/>
          <w:szCs w:val="24"/>
          <w:u w:val="single"/>
        </w:rPr>
        <w:t>Other Authorities</w:t>
      </w:r>
    </w:p>
    <w:p w14:paraId="42C9EB4B" w14:textId="77777777" w:rsidR="00773026" w:rsidRPr="00E04154" w:rsidRDefault="00773026" w:rsidP="00773026">
      <w:pPr>
        <w:tabs>
          <w:tab w:val="right" w:leader="dot" w:pos="9346"/>
        </w:tabs>
        <w:rPr>
          <w:rFonts w:eastAsiaTheme="minorHAnsi"/>
          <w:szCs w:val="24"/>
        </w:rPr>
      </w:pPr>
    </w:p>
    <w:p w14:paraId="57546A9F" w14:textId="29E0AA26" w:rsidR="00773026" w:rsidRPr="00E04154" w:rsidRDefault="00773026" w:rsidP="00773026">
      <w:pPr>
        <w:tabs>
          <w:tab w:val="right" w:leader="dot" w:pos="9346"/>
        </w:tabs>
        <w:rPr>
          <w:rFonts w:eastAsiaTheme="minorHAnsi"/>
          <w:szCs w:val="24"/>
        </w:rPr>
      </w:pPr>
      <w:r w:rsidRPr="00E04154">
        <w:rPr>
          <w:rFonts w:eastAsiaTheme="minorHAnsi"/>
          <w:i/>
          <w:iCs/>
          <w:szCs w:val="24"/>
        </w:rPr>
        <w:t>Internet/Broadband Fact Sheet</w:t>
      </w:r>
      <w:r w:rsidRPr="00E04154">
        <w:rPr>
          <w:rFonts w:eastAsiaTheme="minorHAnsi"/>
          <w:szCs w:val="24"/>
        </w:rPr>
        <w:t xml:space="preserve">, Pew Research Center (Apr. 7, 2021), </w:t>
      </w:r>
      <w:hyperlink r:id="rId10" w:history="1">
        <w:r w:rsidRPr="00E04154">
          <w:rPr>
            <w:rFonts w:eastAsiaTheme="minorHAnsi"/>
            <w:color w:val="0563C1" w:themeColor="hyperlink"/>
            <w:szCs w:val="24"/>
            <w:u w:val="single"/>
          </w:rPr>
          <w:t>https://www.pewresearch.org/internet/fact-sheet/internet-broadband/</w:t>
        </w:r>
      </w:hyperlink>
      <w:r w:rsidRPr="00E04154">
        <w:rPr>
          <w:rFonts w:eastAsiaTheme="minorHAnsi"/>
          <w:szCs w:val="24"/>
        </w:rPr>
        <w:t xml:space="preserve"> </w:t>
      </w:r>
      <w:r w:rsidRPr="00E04154">
        <w:rPr>
          <w:rFonts w:eastAsiaTheme="minorHAnsi"/>
          <w:szCs w:val="24"/>
        </w:rPr>
        <w:tab/>
        <w:t xml:space="preserve"> 1</w:t>
      </w:r>
      <w:r w:rsidR="00E04154" w:rsidRPr="00E04154">
        <w:rPr>
          <w:rFonts w:eastAsiaTheme="minorHAnsi"/>
          <w:szCs w:val="24"/>
        </w:rPr>
        <w:t>0</w:t>
      </w:r>
    </w:p>
    <w:p w14:paraId="5C8B2F73" w14:textId="77777777" w:rsidR="00773026" w:rsidRPr="00E04154" w:rsidRDefault="00773026" w:rsidP="00773026">
      <w:pPr>
        <w:tabs>
          <w:tab w:val="right" w:leader="dot" w:pos="9346"/>
        </w:tabs>
        <w:rPr>
          <w:rFonts w:eastAsiaTheme="minorHAnsi"/>
          <w:i/>
          <w:iCs/>
          <w:szCs w:val="24"/>
        </w:rPr>
      </w:pPr>
    </w:p>
    <w:p w14:paraId="62A838E0" w14:textId="77777777" w:rsidR="00773026" w:rsidRPr="00E04154" w:rsidRDefault="00773026" w:rsidP="00773026">
      <w:pPr>
        <w:tabs>
          <w:tab w:val="right" w:leader="dot" w:pos="9346"/>
        </w:tabs>
        <w:rPr>
          <w:rFonts w:eastAsiaTheme="minorHAnsi"/>
          <w:i/>
          <w:iCs/>
          <w:szCs w:val="24"/>
        </w:rPr>
      </w:pPr>
      <w:r w:rsidRPr="00E04154">
        <w:rPr>
          <w:rFonts w:eastAsiaTheme="minorHAnsi"/>
          <w:i/>
          <w:iCs/>
          <w:szCs w:val="24"/>
        </w:rPr>
        <w:t>Justice Department Secures Agreement with Rite Aid Corporation to Make Its Online</w:t>
      </w:r>
    </w:p>
    <w:p w14:paraId="6A9ACB01" w14:textId="77777777" w:rsidR="00773026" w:rsidRPr="00E04154" w:rsidRDefault="00773026" w:rsidP="00773026">
      <w:pPr>
        <w:tabs>
          <w:tab w:val="right" w:leader="dot" w:pos="9346"/>
        </w:tabs>
        <w:rPr>
          <w:rFonts w:eastAsiaTheme="minorHAnsi"/>
          <w:iCs/>
          <w:szCs w:val="24"/>
        </w:rPr>
      </w:pPr>
      <w:r w:rsidRPr="00E04154">
        <w:rPr>
          <w:rFonts w:eastAsiaTheme="minorHAnsi"/>
          <w:i/>
          <w:iCs/>
          <w:szCs w:val="24"/>
        </w:rPr>
        <w:t>COVID-19 Vaccine Registration Portal Accessible to Individuals with Disabilities</w:t>
      </w:r>
      <w:r w:rsidRPr="00E04154">
        <w:rPr>
          <w:rFonts w:eastAsiaTheme="minorHAnsi"/>
          <w:iCs/>
          <w:szCs w:val="24"/>
        </w:rPr>
        <w:t>,</w:t>
      </w:r>
    </w:p>
    <w:p w14:paraId="4F6AD934" w14:textId="6ED6CB23"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DOJ (Nov. 1, 2021), </w:t>
      </w:r>
      <w:hyperlink r:id="rId11" w:history="1">
        <w:r w:rsidRPr="00E04154">
          <w:rPr>
            <w:rFonts w:eastAsiaTheme="minorHAnsi"/>
            <w:iCs/>
            <w:color w:val="0563C1" w:themeColor="hyperlink"/>
            <w:szCs w:val="24"/>
            <w:u w:val="single"/>
          </w:rPr>
          <w:t>https://www.justice.gov/opa/pr/justice-department-secures-</w:t>
        </w:r>
        <w:r w:rsidRPr="00E04154">
          <w:rPr>
            <w:rFonts w:eastAsiaTheme="minorHAnsi"/>
            <w:iCs/>
            <w:color w:val="0563C1" w:themeColor="hyperlink"/>
            <w:szCs w:val="24"/>
            <w:u w:val="single"/>
          </w:rPr>
          <w:br/>
          <w:t>agreement-rite-aid-corporation-make-its-online-covid-19-vaccine</w:t>
        </w:r>
      </w:hyperlink>
      <w:r w:rsidRPr="00E04154">
        <w:rPr>
          <w:rFonts w:eastAsiaTheme="minorHAnsi"/>
          <w:iCs/>
          <w:szCs w:val="24"/>
        </w:rPr>
        <w:t xml:space="preserve"> </w:t>
      </w:r>
      <w:r w:rsidRPr="00E04154">
        <w:rPr>
          <w:rFonts w:eastAsiaTheme="minorHAnsi"/>
          <w:iCs/>
          <w:szCs w:val="24"/>
        </w:rPr>
        <w:tab/>
        <w:t xml:space="preserve"> </w:t>
      </w:r>
      <w:r w:rsidR="00E04154" w:rsidRPr="00E04154">
        <w:rPr>
          <w:rFonts w:eastAsiaTheme="minorHAnsi"/>
          <w:iCs/>
          <w:szCs w:val="24"/>
        </w:rPr>
        <w:t xml:space="preserve">2, </w:t>
      </w:r>
      <w:r w:rsidRPr="00E04154">
        <w:rPr>
          <w:rFonts w:eastAsiaTheme="minorHAnsi"/>
          <w:iCs/>
          <w:szCs w:val="24"/>
        </w:rPr>
        <w:t>3</w:t>
      </w:r>
    </w:p>
    <w:p w14:paraId="511B72B0" w14:textId="77777777" w:rsidR="00773026" w:rsidRPr="00662BD5" w:rsidRDefault="00773026" w:rsidP="00773026">
      <w:pPr>
        <w:tabs>
          <w:tab w:val="right" w:leader="dot" w:pos="9346"/>
        </w:tabs>
        <w:rPr>
          <w:rFonts w:eastAsiaTheme="minorHAnsi"/>
          <w:iCs/>
          <w:szCs w:val="24"/>
          <w:highlight w:val="yellow"/>
        </w:rPr>
      </w:pPr>
    </w:p>
    <w:p w14:paraId="250B98C4" w14:textId="77777777"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Manual for Complex Litigation (Fourth) § 21.61 (2004) </w:t>
      </w:r>
      <w:r w:rsidRPr="00E04154">
        <w:rPr>
          <w:rFonts w:eastAsiaTheme="minorHAnsi"/>
          <w:iCs/>
          <w:szCs w:val="24"/>
        </w:rPr>
        <w:tab/>
        <w:t xml:space="preserve"> 9</w:t>
      </w:r>
    </w:p>
    <w:p w14:paraId="48F04DFA" w14:textId="77777777" w:rsidR="00773026" w:rsidRPr="00662BD5" w:rsidRDefault="00773026" w:rsidP="00773026">
      <w:pPr>
        <w:tabs>
          <w:tab w:val="right" w:leader="dot" w:pos="9346"/>
        </w:tabs>
        <w:rPr>
          <w:rFonts w:eastAsiaTheme="minorHAnsi"/>
          <w:iCs/>
          <w:szCs w:val="24"/>
          <w:highlight w:val="yellow"/>
        </w:rPr>
      </w:pPr>
    </w:p>
    <w:p w14:paraId="45EC4131" w14:textId="340AA365"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Matthew W. Brault, </w:t>
      </w:r>
      <w:r w:rsidRPr="00E04154">
        <w:rPr>
          <w:rFonts w:eastAsiaTheme="minorHAnsi"/>
          <w:i/>
          <w:iCs/>
          <w:szCs w:val="24"/>
        </w:rPr>
        <w:t>Americans With Disabilities: 2010</w:t>
      </w:r>
      <w:r w:rsidRPr="00E04154">
        <w:rPr>
          <w:rFonts w:eastAsiaTheme="minorHAnsi"/>
          <w:iCs/>
          <w:szCs w:val="24"/>
        </w:rPr>
        <w:t xml:space="preserve">, U.S. Census Bureau (July 2012), </w:t>
      </w:r>
      <w:hyperlink r:id="rId12" w:history="1">
        <w:r w:rsidRPr="00E04154">
          <w:rPr>
            <w:rFonts w:eastAsiaTheme="minorHAnsi"/>
            <w:iCs/>
            <w:color w:val="0563C1" w:themeColor="hyperlink"/>
            <w:szCs w:val="24"/>
            <w:u w:val="single"/>
          </w:rPr>
          <w:t>https://www2.census.gov/library/publications/2012/demo/p70-131.pdf</w:t>
        </w:r>
      </w:hyperlink>
      <w:r w:rsidRPr="00E04154">
        <w:rPr>
          <w:rFonts w:eastAsiaTheme="minorHAnsi"/>
          <w:iCs/>
          <w:szCs w:val="24"/>
        </w:rPr>
        <w:t xml:space="preserve"> </w:t>
      </w:r>
      <w:r w:rsidRPr="00E04154">
        <w:rPr>
          <w:rFonts w:eastAsiaTheme="minorHAnsi"/>
          <w:iCs/>
          <w:szCs w:val="24"/>
        </w:rPr>
        <w:tab/>
        <w:t xml:space="preserve"> 1</w:t>
      </w:r>
      <w:r w:rsidR="00E04154" w:rsidRPr="00E04154">
        <w:rPr>
          <w:rFonts w:eastAsiaTheme="minorHAnsi"/>
          <w:iCs/>
          <w:szCs w:val="24"/>
        </w:rPr>
        <w:t>0</w:t>
      </w:r>
    </w:p>
    <w:p w14:paraId="138DD8AF" w14:textId="77777777" w:rsidR="00773026" w:rsidRPr="00662BD5" w:rsidRDefault="00773026" w:rsidP="00773026">
      <w:pPr>
        <w:tabs>
          <w:tab w:val="right" w:leader="dot" w:pos="9346"/>
        </w:tabs>
        <w:rPr>
          <w:rFonts w:eastAsiaTheme="minorHAnsi"/>
          <w:iCs/>
          <w:szCs w:val="24"/>
          <w:highlight w:val="yellow"/>
        </w:rPr>
      </w:pPr>
    </w:p>
    <w:p w14:paraId="43BE69EC" w14:textId="013987C0"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Settlement Between Penn State University and National Federation of the Blind, </w:t>
      </w:r>
      <w:r w:rsidRPr="00E04154">
        <w:rPr>
          <w:rFonts w:eastAsiaTheme="minorHAnsi"/>
          <w:iCs/>
          <w:szCs w:val="24"/>
        </w:rPr>
        <w:br/>
        <w:t xml:space="preserve">U.S. Department of Education, Office for Civil Rights, Docket No. 03-11-2020 </w:t>
      </w:r>
      <w:hyperlink r:id="rId13" w:history="1">
        <w:r w:rsidRPr="00E04154">
          <w:rPr>
            <w:rFonts w:eastAsiaTheme="minorHAnsi"/>
            <w:iCs/>
            <w:color w:val="0563C1" w:themeColor="hyperlink"/>
            <w:szCs w:val="24"/>
            <w:u w:val="single"/>
          </w:rPr>
          <w:t>https://accessibility.psu.edu/nfbpsusettlement/</w:t>
        </w:r>
      </w:hyperlink>
      <w:r w:rsidRPr="00E04154">
        <w:rPr>
          <w:rFonts w:eastAsiaTheme="minorHAnsi"/>
          <w:iCs/>
          <w:szCs w:val="24"/>
        </w:rPr>
        <w:t xml:space="preserve"> </w:t>
      </w:r>
      <w:r w:rsidRPr="00E04154">
        <w:rPr>
          <w:rFonts w:eastAsiaTheme="minorHAnsi"/>
          <w:iCs/>
          <w:szCs w:val="24"/>
        </w:rPr>
        <w:tab/>
        <w:t xml:space="preserve"> 3, </w:t>
      </w:r>
      <w:r w:rsidR="00E04154" w:rsidRPr="00E04154">
        <w:rPr>
          <w:rFonts w:eastAsiaTheme="minorHAnsi"/>
          <w:iCs/>
          <w:szCs w:val="24"/>
        </w:rPr>
        <w:t xml:space="preserve">16, </w:t>
      </w:r>
      <w:r w:rsidRPr="00E04154">
        <w:rPr>
          <w:rFonts w:eastAsiaTheme="minorHAnsi"/>
          <w:iCs/>
          <w:szCs w:val="24"/>
        </w:rPr>
        <w:t>17</w:t>
      </w:r>
    </w:p>
    <w:p w14:paraId="7AF24CFC" w14:textId="77777777" w:rsidR="00773026" w:rsidRPr="00662BD5" w:rsidRDefault="00773026" w:rsidP="00773026">
      <w:pPr>
        <w:tabs>
          <w:tab w:val="right" w:leader="dot" w:pos="9346"/>
        </w:tabs>
        <w:rPr>
          <w:rFonts w:eastAsiaTheme="minorHAnsi"/>
          <w:iCs/>
          <w:szCs w:val="24"/>
          <w:highlight w:val="yellow"/>
        </w:rPr>
      </w:pPr>
    </w:p>
    <w:p w14:paraId="3C805FF9" w14:textId="46BC3038"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Settlement Agreement Between the United States of America and Ahold U.S.A., Inc. and Peapod, LLC, DJ 202-63-169 (Nov. 17, 2014), </w:t>
      </w:r>
      <w:r w:rsidRPr="00E04154">
        <w:rPr>
          <w:rFonts w:eastAsiaTheme="minorHAnsi"/>
          <w:iCs/>
          <w:szCs w:val="24"/>
        </w:rPr>
        <w:br/>
      </w:r>
      <w:hyperlink r:id="rId14" w:history="1">
        <w:r w:rsidRPr="00E04154">
          <w:rPr>
            <w:rFonts w:eastAsiaTheme="minorHAnsi"/>
            <w:iCs/>
            <w:color w:val="0563C1" w:themeColor="hyperlink"/>
            <w:szCs w:val="24"/>
            <w:u w:val="single"/>
          </w:rPr>
          <w:t>https://www.justice.gov/file/163956/download</w:t>
        </w:r>
      </w:hyperlink>
      <w:r w:rsidRPr="00E04154">
        <w:rPr>
          <w:rFonts w:eastAsiaTheme="minorHAnsi"/>
          <w:iCs/>
          <w:szCs w:val="24"/>
        </w:rPr>
        <w:t xml:space="preserve"> </w:t>
      </w:r>
      <w:r w:rsidRPr="00E04154">
        <w:rPr>
          <w:rFonts w:eastAsiaTheme="minorHAnsi"/>
          <w:iCs/>
          <w:szCs w:val="24"/>
        </w:rPr>
        <w:tab/>
        <w:t xml:space="preserve"> 1</w:t>
      </w:r>
      <w:r w:rsidR="00E04154" w:rsidRPr="00E04154">
        <w:rPr>
          <w:rFonts w:eastAsiaTheme="minorHAnsi"/>
          <w:iCs/>
          <w:szCs w:val="24"/>
        </w:rPr>
        <w:t>6</w:t>
      </w:r>
    </w:p>
    <w:p w14:paraId="23EEBA30" w14:textId="77777777" w:rsidR="00773026" w:rsidRPr="00E04154" w:rsidRDefault="00773026" w:rsidP="00773026">
      <w:pPr>
        <w:tabs>
          <w:tab w:val="right" w:leader="dot" w:pos="9346"/>
        </w:tabs>
        <w:rPr>
          <w:rFonts w:eastAsiaTheme="minorHAnsi"/>
          <w:iCs/>
          <w:szCs w:val="24"/>
        </w:rPr>
      </w:pPr>
    </w:p>
    <w:p w14:paraId="1869780A" w14:textId="77777777" w:rsidR="00773026" w:rsidRPr="00E04154" w:rsidRDefault="00773026" w:rsidP="00773026">
      <w:pPr>
        <w:tabs>
          <w:tab w:val="right" w:leader="dot" w:pos="9346"/>
        </w:tabs>
        <w:rPr>
          <w:rFonts w:eastAsiaTheme="minorHAnsi"/>
          <w:iCs/>
          <w:szCs w:val="24"/>
        </w:rPr>
      </w:pPr>
      <w:r w:rsidRPr="00E04154">
        <w:rPr>
          <w:rFonts w:eastAsiaTheme="minorHAnsi"/>
          <w:iCs/>
          <w:szCs w:val="24"/>
        </w:rPr>
        <w:t xml:space="preserve">Youngstown State University Resolution Agreement, U.S. Department of Education, </w:t>
      </w:r>
      <w:r w:rsidRPr="00E04154">
        <w:rPr>
          <w:rFonts w:eastAsiaTheme="minorHAnsi"/>
          <w:iCs/>
          <w:szCs w:val="24"/>
        </w:rPr>
        <w:br/>
        <w:t>Office for Civil Rights, Docket No. 15-13-6002 (Nov. 25, 2014),</w:t>
      </w:r>
      <w:r w:rsidRPr="00E04154">
        <w:rPr>
          <w:rFonts w:eastAsiaTheme="minorHAnsi"/>
          <w:iCs/>
          <w:szCs w:val="24"/>
        </w:rPr>
        <w:br/>
      </w:r>
      <w:hyperlink r:id="rId15" w:history="1">
        <w:r w:rsidRPr="00E04154">
          <w:rPr>
            <w:rFonts w:eastAsiaTheme="minorHAnsi"/>
            <w:iCs/>
            <w:color w:val="0563C1" w:themeColor="hyperlink"/>
            <w:szCs w:val="24"/>
            <w:u w:val="single"/>
          </w:rPr>
          <w:t>https://www2.ed.gov/documents/press-releases/youngstown-state-university-agreement.pdf</w:t>
        </w:r>
      </w:hyperlink>
      <w:r w:rsidRPr="00E04154">
        <w:rPr>
          <w:rFonts w:eastAsiaTheme="minorHAnsi"/>
          <w:iCs/>
          <w:szCs w:val="24"/>
        </w:rPr>
        <w:t xml:space="preserve"> </w:t>
      </w:r>
      <w:r w:rsidRPr="00E04154">
        <w:rPr>
          <w:rFonts w:eastAsiaTheme="minorHAnsi"/>
          <w:iCs/>
          <w:szCs w:val="24"/>
        </w:rPr>
        <w:tab/>
        <w:t xml:space="preserve"> 17</w:t>
      </w:r>
    </w:p>
    <w:p w14:paraId="212EDEBE" w14:textId="77777777" w:rsidR="00773026" w:rsidRPr="00662BD5" w:rsidRDefault="00773026" w:rsidP="00773026">
      <w:pPr>
        <w:tabs>
          <w:tab w:val="right" w:leader="dot" w:pos="9346"/>
        </w:tabs>
        <w:rPr>
          <w:rFonts w:eastAsiaTheme="minorHAnsi"/>
          <w:iCs/>
          <w:szCs w:val="24"/>
          <w:highlight w:val="yellow"/>
        </w:rPr>
      </w:pPr>
    </w:p>
    <w:p w14:paraId="27053570" w14:textId="64C7A4E6" w:rsidR="00D34CE4" w:rsidRPr="00E04154" w:rsidRDefault="00773026" w:rsidP="00D34CE4">
      <w:pPr>
        <w:tabs>
          <w:tab w:val="right" w:leader="dot" w:pos="9360"/>
        </w:tabs>
        <w:rPr>
          <w:rFonts w:eastAsiaTheme="minorHAnsi"/>
          <w:iCs/>
          <w:szCs w:val="24"/>
        </w:rPr>
      </w:pPr>
      <w:r w:rsidRPr="00E04154">
        <w:rPr>
          <w:rFonts w:eastAsiaTheme="minorHAnsi"/>
          <w:iCs/>
          <w:szCs w:val="24"/>
        </w:rPr>
        <w:t xml:space="preserve">William B. Rubenstein, 3 </w:t>
      </w:r>
      <w:r w:rsidRPr="00E04154">
        <w:rPr>
          <w:rFonts w:eastAsiaTheme="minorHAnsi"/>
          <w:i/>
          <w:iCs/>
          <w:szCs w:val="24"/>
        </w:rPr>
        <w:t>Newberg on Class Actions</w:t>
      </w:r>
      <w:r w:rsidRPr="00E04154">
        <w:rPr>
          <w:rFonts w:eastAsiaTheme="minorHAnsi"/>
          <w:iCs/>
          <w:szCs w:val="24"/>
        </w:rPr>
        <w:t xml:space="preserve"> § 8:15 (6th ed. 2022) </w:t>
      </w:r>
      <w:r w:rsidRPr="00E04154">
        <w:rPr>
          <w:rFonts w:eastAsiaTheme="minorHAnsi"/>
          <w:iCs/>
          <w:szCs w:val="24"/>
        </w:rPr>
        <w:tab/>
        <w:t xml:space="preserve"> 2</w:t>
      </w:r>
      <w:r w:rsidR="00E04154" w:rsidRPr="00E04154">
        <w:rPr>
          <w:rFonts w:eastAsiaTheme="minorHAnsi"/>
          <w:iCs/>
          <w:szCs w:val="24"/>
        </w:rPr>
        <w:t>1</w:t>
      </w:r>
    </w:p>
    <w:p w14:paraId="6A020471" w14:textId="48DB0552" w:rsidR="0084742D" w:rsidRPr="00662BD5" w:rsidRDefault="0084742D" w:rsidP="00A40C0F">
      <w:pPr>
        <w:tabs>
          <w:tab w:val="left" w:pos="0"/>
          <w:tab w:val="left" w:pos="720"/>
          <w:tab w:val="left" w:leader="dot" w:pos="8928"/>
        </w:tabs>
        <w:spacing w:after="240"/>
        <w:rPr>
          <w:b/>
          <w:bCs/>
          <w:szCs w:val="24"/>
          <w:highlight w:val="yellow"/>
        </w:rPr>
        <w:sectPr w:rsidR="0084742D" w:rsidRPr="00662BD5" w:rsidSect="0085551D">
          <w:footerReference w:type="default" r:id="rId16"/>
          <w:pgSz w:w="12240" w:h="15840"/>
          <w:pgMar w:top="1440" w:right="1440" w:bottom="1440" w:left="1440" w:header="720" w:footer="720" w:gutter="0"/>
          <w:pgNumType w:fmt="lowerRoman" w:start="1"/>
          <w:cols w:space="720"/>
          <w:docGrid w:linePitch="360"/>
        </w:sectPr>
      </w:pPr>
    </w:p>
    <w:p w14:paraId="15C6A22A" w14:textId="568AF3F3" w:rsidR="005163E7" w:rsidRPr="006477EE" w:rsidRDefault="00762262" w:rsidP="006C7448">
      <w:pPr>
        <w:pStyle w:val="ListParagraph"/>
        <w:keepNext/>
        <w:widowControl w:val="0"/>
        <w:numPr>
          <w:ilvl w:val="0"/>
          <w:numId w:val="2"/>
        </w:numPr>
        <w:spacing w:after="240"/>
        <w:ind w:left="0" w:right="720" w:firstLine="0"/>
        <w:contextualSpacing w:val="0"/>
        <w:rPr>
          <w:b/>
          <w:bCs/>
          <w:iCs/>
          <w:szCs w:val="24"/>
        </w:rPr>
      </w:pPr>
      <w:r w:rsidRPr="006477EE">
        <w:rPr>
          <w:b/>
          <w:bCs/>
          <w:iCs/>
          <w:szCs w:val="24"/>
        </w:rPr>
        <w:lastRenderedPageBreak/>
        <w:t>INTRODUCTION</w:t>
      </w:r>
    </w:p>
    <w:p w14:paraId="0C19DF78" w14:textId="1891DED6" w:rsidR="005163E7" w:rsidRPr="00B27D2C" w:rsidRDefault="00A56F1D" w:rsidP="006C7448">
      <w:pPr>
        <w:widowControl w:val="0"/>
        <w:spacing w:line="480" w:lineRule="auto"/>
        <w:ind w:firstLine="720"/>
        <w:jc w:val="both"/>
        <w:rPr>
          <w:szCs w:val="24"/>
        </w:rPr>
      </w:pPr>
      <w:r>
        <w:rPr>
          <w:iCs/>
          <w:szCs w:val="24"/>
        </w:rPr>
        <w:t xml:space="preserve">Plaintiff </w:t>
      </w:r>
      <w:r w:rsidR="00C63E5C" w:rsidRPr="00C63E5C">
        <w:rPr>
          <w:iCs/>
          <w:szCs w:val="24"/>
        </w:rPr>
        <w:t>Blair Douglass</w:t>
      </w:r>
      <w:r w:rsidR="005163E7" w:rsidRPr="00C63E5C">
        <w:rPr>
          <w:iCs/>
          <w:szCs w:val="24"/>
        </w:rPr>
        <w:t xml:space="preserve"> submit</w:t>
      </w:r>
      <w:r w:rsidR="008F37C0" w:rsidRPr="00C63E5C">
        <w:rPr>
          <w:iCs/>
          <w:szCs w:val="24"/>
        </w:rPr>
        <w:t>s</w:t>
      </w:r>
      <w:r w:rsidR="005163E7" w:rsidRPr="00C63E5C">
        <w:rPr>
          <w:iCs/>
          <w:szCs w:val="24"/>
        </w:rPr>
        <w:t xml:space="preserve"> this Memorandum </w:t>
      </w:r>
      <w:r w:rsidR="005D04E5" w:rsidRPr="00C63E5C">
        <w:rPr>
          <w:iCs/>
          <w:szCs w:val="24"/>
        </w:rPr>
        <w:t>i</w:t>
      </w:r>
      <w:r w:rsidR="007D2342" w:rsidRPr="00C63E5C">
        <w:rPr>
          <w:iCs/>
          <w:szCs w:val="24"/>
        </w:rPr>
        <w:t xml:space="preserve">n </w:t>
      </w:r>
      <w:r w:rsidR="005163E7" w:rsidRPr="00C63E5C">
        <w:rPr>
          <w:iCs/>
          <w:szCs w:val="24"/>
        </w:rPr>
        <w:t xml:space="preserve">Support </w:t>
      </w:r>
      <w:r w:rsidR="005D04E5" w:rsidRPr="00C63E5C">
        <w:rPr>
          <w:iCs/>
          <w:szCs w:val="24"/>
        </w:rPr>
        <w:t>o</w:t>
      </w:r>
      <w:r w:rsidR="007D2342" w:rsidRPr="00C63E5C">
        <w:rPr>
          <w:iCs/>
          <w:szCs w:val="24"/>
        </w:rPr>
        <w:t xml:space="preserve">f </w:t>
      </w:r>
      <w:r w:rsidR="005D04E5" w:rsidRPr="00C63E5C">
        <w:rPr>
          <w:iCs/>
          <w:szCs w:val="24"/>
        </w:rPr>
        <w:t xml:space="preserve">his </w:t>
      </w:r>
      <w:r w:rsidR="00075C2C" w:rsidRPr="00C63E5C">
        <w:rPr>
          <w:iCs/>
          <w:szCs w:val="24"/>
        </w:rPr>
        <w:t xml:space="preserve">Motion </w:t>
      </w:r>
      <w:r w:rsidR="005D04E5" w:rsidRPr="00CF435F">
        <w:rPr>
          <w:iCs/>
          <w:szCs w:val="24"/>
        </w:rPr>
        <w:t>t</w:t>
      </w:r>
      <w:r w:rsidR="007D2342" w:rsidRPr="00CF435F">
        <w:rPr>
          <w:iCs/>
          <w:szCs w:val="24"/>
        </w:rPr>
        <w:t xml:space="preserve">o </w:t>
      </w:r>
      <w:r w:rsidR="0046395D" w:rsidRPr="00CF435F">
        <w:rPr>
          <w:iCs/>
          <w:szCs w:val="24"/>
        </w:rPr>
        <w:t xml:space="preserve">Certify Class </w:t>
      </w:r>
      <w:r w:rsidR="005D04E5" w:rsidRPr="00CF435F">
        <w:rPr>
          <w:iCs/>
          <w:szCs w:val="24"/>
        </w:rPr>
        <w:t>f</w:t>
      </w:r>
      <w:r w:rsidR="007D2342" w:rsidRPr="00CF435F">
        <w:rPr>
          <w:iCs/>
          <w:szCs w:val="24"/>
        </w:rPr>
        <w:t xml:space="preserve">or </w:t>
      </w:r>
      <w:r w:rsidR="0046395D" w:rsidRPr="00CF435F">
        <w:rPr>
          <w:iCs/>
          <w:szCs w:val="24"/>
        </w:rPr>
        <w:t xml:space="preserve">Settlement Purposes </w:t>
      </w:r>
      <w:r w:rsidR="005D04E5" w:rsidRPr="00CF435F">
        <w:rPr>
          <w:iCs/>
          <w:szCs w:val="24"/>
        </w:rPr>
        <w:t>a</w:t>
      </w:r>
      <w:r w:rsidR="007D2342" w:rsidRPr="00CF435F">
        <w:rPr>
          <w:iCs/>
          <w:szCs w:val="24"/>
        </w:rPr>
        <w:t xml:space="preserve">nd </w:t>
      </w:r>
      <w:r w:rsidR="005D04E5" w:rsidRPr="00CF435F">
        <w:rPr>
          <w:iCs/>
          <w:szCs w:val="24"/>
        </w:rPr>
        <w:t>f</w:t>
      </w:r>
      <w:r w:rsidR="007D2342" w:rsidRPr="00CF435F">
        <w:rPr>
          <w:iCs/>
          <w:szCs w:val="24"/>
        </w:rPr>
        <w:t xml:space="preserve">or </w:t>
      </w:r>
      <w:r w:rsidR="00C63E5C" w:rsidRPr="00CF435F">
        <w:rPr>
          <w:iCs/>
          <w:szCs w:val="24"/>
        </w:rPr>
        <w:t>Preliminary</w:t>
      </w:r>
      <w:r w:rsidR="00075C2C" w:rsidRPr="00CF435F">
        <w:rPr>
          <w:iCs/>
          <w:szCs w:val="24"/>
        </w:rPr>
        <w:t xml:space="preserve"> Approval </w:t>
      </w:r>
      <w:r w:rsidR="005D04E5" w:rsidRPr="00CF435F">
        <w:rPr>
          <w:iCs/>
          <w:szCs w:val="24"/>
        </w:rPr>
        <w:t>o</w:t>
      </w:r>
      <w:r w:rsidR="007D2342" w:rsidRPr="00CF435F">
        <w:rPr>
          <w:iCs/>
          <w:szCs w:val="24"/>
        </w:rPr>
        <w:t xml:space="preserve">f </w:t>
      </w:r>
      <w:r w:rsidR="00075C2C" w:rsidRPr="00CF435F">
        <w:rPr>
          <w:iCs/>
          <w:szCs w:val="24"/>
        </w:rPr>
        <w:t>Class Action Settlement</w:t>
      </w:r>
      <w:r w:rsidR="005163E7" w:rsidRPr="00CF435F">
        <w:rPr>
          <w:iCs/>
          <w:szCs w:val="24"/>
        </w:rPr>
        <w:t>.</w:t>
      </w:r>
      <w:r w:rsidR="005163E7" w:rsidRPr="00CF435F">
        <w:rPr>
          <w:szCs w:val="24"/>
        </w:rPr>
        <w:t xml:space="preserve"> The </w:t>
      </w:r>
      <w:r w:rsidR="00C2678F" w:rsidRPr="00CF435F">
        <w:rPr>
          <w:szCs w:val="24"/>
        </w:rPr>
        <w:t>Agreement</w:t>
      </w:r>
      <w:r w:rsidR="00351639" w:rsidRPr="00CF435F">
        <w:rPr>
          <w:rStyle w:val="FootnoteReference"/>
          <w:szCs w:val="24"/>
        </w:rPr>
        <w:footnoteReference w:id="1"/>
      </w:r>
      <w:r w:rsidR="005163E7" w:rsidRPr="00CF435F">
        <w:rPr>
          <w:szCs w:val="24"/>
        </w:rPr>
        <w:t xml:space="preserve"> resolves </w:t>
      </w:r>
      <w:r w:rsidR="00552042" w:rsidRPr="00CF435F">
        <w:rPr>
          <w:szCs w:val="24"/>
        </w:rPr>
        <w:t>this</w:t>
      </w:r>
      <w:r w:rsidR="005163E7" w:rsidRPr="00CF435F">
        <w:rPr>
          <w:szCs w:val="24"/>
        </w:rPr>
        <w:t xml:space="preserve"> </w:t>
      </w:r>
      <w:r w:rsidR="00CF435F" w:rsidRPr="00CF435F">
        <w:rPr>
          <w:szCs w:val="24"/>
        </w:rPr>
        <w:t>suit</w:t>
      </w:r>
      <w:r w:rsidR="0071330B" w:rsidRPr="00CF435F">
        <w:rPr>
          <w:szCs w:val="24"/>
        </w:rPr>
        <w:t xml:space="preserve"> </w:t>
      </w:r>
      <w:r w:rsidR="005163E7" w:rsidRPr="00CF435F">
        <w:rPr>
          <w:szCs w:val="24"/>
        </w:rPr>
        <w:t xml:space="preserve">against </w:t>
      </w:r>
      <w:r w:rsidR="005D04E9" w:rsidRPr="00CF435F">
        <w:rPr>
          <w:szCs w:val="24"/>
        </w:rPr>
        <w:t xml:space="preserve">Defendant </w:t>
      </w:r>
      <w:r w:rsidR="00CF435F" w:rsidRPr="00CF435F">
        <w:rPr>
          <w:szCs w:val="24"/>
        </w:rPr>
        <w:t>Mondelēz Global LLC</w:t>
      </w:r>
      <w:r w:rsidR="005163E7" w:rsidRPr="00CF435F">
        <w:rPr>
          <w:szCs w:val="24"/>
        </w:rPr>
        <w:t>.</w:t>
      </w:r>
      <w:r w:rsidR="00E411E5" w:rsidRPr="00CF435F">
        <w:rPr>
          <w:szCs w:val="24"/>
        </w:rPr>
        <w:t xml:space="preserve"> </w:t>
      </w:r>
      <w:r w:rsidR="00471C74" w:rsidRPr="00CF435F">
        <w:rPr>
          <w:szCs w:val="24"/>
        </w:rPr>
        <w:t>It</w:t>
      </w:r>
      <w:r w:rsidR="00552042" w:rsidRPr="00CF435F">
        <w:rPr>
          <w:szCs w:val="24"/>
        </w:rPr>
        <w:t xml:space="preserve"> </w:t>
      </w:r>
      <w:r w:rsidR="00E411E5" w:rsidRPr="00CF435F">
        <w:rPr>
          <w:szCs w:val="24"/>
        </w:rPr>
        <w:t>is fair</w:t>
      </w:r>
      <w:r w:rsidR="00552042" w:rsidRPr="00CF435F">
        <w:rPr>
          <w:szCs w:val="24"/>
        </w:rPr>
        <w:t xml:space="preserve"> and</w:t>
      </w:r>
      <w:r w:rsidR="00E411E5" w:rsidRPr="00CF435F">
        <w:rPr>
          <w:szCs w:val="24"/>
        </w:rPr>
        <w:t xml:space="preserve"> reasonabl</w:t>
      </w:r>
      <w:r w:rsidR="004300B9" w:rsidRPr="00CF435F">
        <w:rPr>
          <w:szCs w:val="24"/>
        </w:rPr>
        <w:t>e</w:t>
      </w:r>
      <w:r w:rsidR="0081578F" w:rsidRPr="00CF435F">
        <w:rPr>
          <w:szCs w:val="24"/>
        </w:rPr>
        <w:t>,</w:t>
      </w:r>
      <w:r w:rsidR="00E411E5" w:rsidRPr="00CF435F">
        <w:rPr>
          <w:szCs w:val="24"/>
        </w:rPr>
        <w:t xml:space="preserve"> and provides substantial benefit</w:t>
      </w:r>
      <w:r w:rsidR="0081578F" w:rsidRPr="00CF435F">
        <w:rPr>
          <w:szCs w:val="24"/>
        </w:rPr>
        <w:t>s</w:t>
      </w:r>
      <w:r w:rsidR="00E411E5" w:rsidRPr="00CF435F">
        <w:rPr>
          <w:szCs w:val="24"/>
        </w:rPr>
        <w:t xml:space="preserve"> to the class, while avoiding the delay, risk</w:t>
      </w:r>
      <w:r w:rsidR="009C5159" w:rsidRPr="00CF435F">
        <w:rPr>
          <w:sz w:val="22"/>
          <w:szCs w:val="22"/>
        </w:rPr>
        <w:t>,</w:t>
      </w:r>
      <w:r w:rsidR="00E411E5" w:rsidRPr="00CF435F">
        <w:rPr>
          <w:szCs w:val="24"/>
        </w:rPr>
        <w:t xml:space="preserve"> and </w:t>
      </w:r>
      <w:r w:rsidR="0081578F" w:rsidRPr="00CF435F">
        <w:rPr>
          <w:szCs w:val="24"/>
        </w:rPr>
        <w:t>cost</w:t>
      </w:r>
      <w:r w:rsidR="00E411E5" w:rsidRPr="00CF435F">
        <w:rPr>
          <w:szCs w:val="24"/>
        </w:rPr>
        <w:t xml:space="preserve"> </w:t>
      </w:r>
      <w:r w:rsidR="00552042" w:rsidRPr="00CF435F">
        <w:rPr>
          <w:szCs w:val="24"/>
        </w:rPr>
        <w:t xml:space="preserve">of </w:t>
      </w:r>
      <w:r w:rsidR="00E411E5" w:rsidRPr="00CF435F">
        <w:rPr>
          <w:szCs w:val="24"/>
        </w:rPr>
        <w:t xml:space="preserve">continued </w:t>
      </w:r>
      <w:r w:rsidR="00E411E5" w:rsidRPr="001E655E">
        <w:rPr>
          <w:szCs w:val="24"/>
        </w:rPr>
        <w:t xml:space="preserve">litigation. </w:t>
      </w:r>
      <w:r w:rsidR="00F75A57" w:rsidRPr="001E655E">
        <w:rPr>
          <w:szCs w:val="24"/>
        </w:rPr>
        <w:t xml:space="preserve">It is on par with agreements finally approved in </w:t>
      </w:r>
      <w:r w:rsidR="00F75A57" w:rsidRPr="001E655E">
        <w:rPr>
          <w:i/>
          <w:iCs/>
          <w:szCs w:val="24"/>
        </w:rPr>
        <w:t>Murphy v. Eyebobs, LLC</w:t>
      </w:r>
      <w:r w:rsidR="00F75A57" w:rsidRPr="001E655E">
        <w:rPr>
          <w:szCs w:val="24"/>
        </w:rPr>
        <w:t>, No. 1:21-cv-00017, Doc. 49 (W.D. Pa. Feb. 9, 2022) (“</w:t>
      </w:r>
      <w:r w:rsidR="00F75A57" w:rsidRPr="001E655E">
        <w:rPr>
          <w:i/>
          <w:iCs/>
          <w:szCs w:val="24"/>
        </w:rPr>
        <w:t>Eyebobs</w:t>
      </w:r>
      <w:r w:rsidR="00F75A57" w:rsidRPr="001E655E">
        <w:rPr>
          <w:szCs w:val="24"/>
        </w:rPr>
        <w:t>”)</w:t>
      </w:r>
      <w:r w:rsidR="004F4272">
        <w:rPr>
          <w:szCs w:val="24"/>
        </w:rPr>
        <w:t xml:space="preserve">, </w:t>
      </w:r>
      <w:r w:rsidR="00F75A57" w:rsidRPr="001E655E">
        <w:rPr>
          <w:i/>
          <w:iCs/>
          <w:szCs w:val="24"/>
        </w:rPr>
        <w:t>Murphy v. Charles Tyrwhitt, Inc.</w:t>
      </w:r>
      <w:r w:rsidR="00F75A57" w:rsidRPr="001E655E">
        <w:rPr>
          <w:szCs w:val="24"/>
        </w:rPr>
        <w:t>, No. 1:20-cv-00056, Doc. 47 (W.D. Pa. Feb. 16, 2022) (“</w:t>
      </w:r>
      <w:r w:rsidR="00F75A57" w:rsidRPr="001E655E">
        <w:rPr>
          <w:i/>
          <w:iCs/>
          <w:szCs w:val="24"/>
        </w:rPr>
        <w:t>Charles Tyrwhitt</w:t>
      </w:r>
      <w:r w:rsidR="00F75A57" w:rsidRPr="001E655E">
        <w:rPr>
          <w:szCs w:val="24"/>
        </w:rPr>
        <w:t>”)</w:t>
      </w:r>
      <w:r w:rsidR="00DC5A77">
        <w:rPr>
          <w:szCs w:val="24"/>
        </w:rPr>
        <w:t xml:space="preserve">, </w:t>
      </w:r>
      <w:r w:rsidR="00C94E6B" w:rsidRPr="0093799D">
        <w:rPr>
          <w:i/>
          <w:iCs/>
          <w:szCs w:val="24"/>
        </w:rPr>
        <w:t>Murphy v. The</w:t>
      </w:r>
      <w:r w:rsidR="00C94E6B" w:rsidRPr="008F1904">
        <w:rPr>
          <w:i/>
          <w:iCs/>
          <w:szCs w:val="24"/>
        </w:rPr>
        <w:t xml:space="preserve"> Hundreds Is Huge, Inc.</w:t>
      </w:r>
      <w:r w:rsidR="00C94E6B">
        <w:rPr>
          <w:szCs w:val="24"/>
        </w:rPr>
        <w:t xml:space="preserve">, No. 1:21-cv-00204, Doc. </w:t>
      </w:r>
      <w:r w:rsidR="00DC5A77">
        <w:rPr>
          <w:szCs w:val="24"/>
        </w:rPr>
        <w:t>41</w:t>
      </w:r>
      <w:r w:rsidR="00DD7421">
        <w:rPr>
          <w:szCs w:val="24"/>
        </w:rPr>
        <w:t>, Ex. A</w:t>
      </w:r>
      <w:r w:rsidR="00C94E6B">
        <w:rPr>
          <w:szCs w:val="24"/>
        </w:rPr>
        <w:t xml:space="preserve"> (W.D. Pa. </w:t>
      </w:r>
      <w:r w:rsidR="00082772">
        <w:rPr>
          <w:szCs w:val="24"/>
        </w:rPr>
        <w:t>Nov. 17</w:t>
      </w:r>
      <w:r w:rsidR="00C94E6B">
        <w:rPr>
          <w:szCs w:val="24"/>
        </w:rPr>
        <w:t xml:space="preserve">, 2022) </w:t>
      </w:r>
      <w:r w:rsidR="008F1904">
        <w:rPr>
          <w:szCs w:val="24"/>
        </w:rPr>
        <w:t>(“</w:t>
      </w:r>
      <w:r w:rsidR="008F1904" w:rsidRPr="0093799D">
        <w:rPr>
          <w:i/>
          <w:iCs/>
          <w:szCs w:val="24"/>
        </w:rPr>
        <w:t>The Hundreds</w:t>
      </w:r>
      <w:r w:rsidR="008F1904">
        <w:rPr>
          <w:szCs w:val="24"/>
        </w:rPr>
        <w:t>”)</w:t>
      </w:r>
      <w:r w:rsidR="00DC5A77">
        <w:rPr>
          <w:szCs w:val="24"/>
        </w:rPr>
        <w:t>,</w:t>
      </w:r>
      <w:r w:rsidR="008F1904">
        <w:rPr>
          <w:szCs w:val="24"/>
        </w:rPr>
        <w:t xml:space="preserve"> </w:t>
      </w:r>
      <w:r w:rsidR="00C94E6B">
        <w:rPr>
          <w:szCs w:val="24"/>
        </w:rPr>
        <w:t>and</w:t>
      </w:r>
      <w:r w:rsidR="004F4272">
        <w:rPr>
          <w:szCs w:val="24"/>
        </w:rPr>
        <w:t xml:space="preserve"> </w:t>
      </w:r>
      <w:r w:rsidR="004F4272">
        <w:rPr>
          <w:i/>
          <w:iCs/>
          <w:szCs w:val="24"/>
        </w:rPr>
        <w:t>Giannaros v. Poly-Wood, LLC</w:t>
      </w:r>
      <w:r w:rsidR="004F4272">
        <w:rPr>
          <w:szCs w:val="24"/>
        </w:rPr>
        <w:t>, No. 1:21-cv-10351, Doc. 45 (D. Mass. Oct. 27, 2022) (“</w:t>
      </w:r>
      <w:r w:rsidR="004F4272">
        <w:rPr>
          <w:i/>
          <w:iCs/>
          <w:szCs w:val="24"/>
        </w:rPr>
        <w:t>Poly-Wood</w:t>
      </w:r>
      <w:r w:rsidR="004F4272">
        <w:rPr>
          <w:szCs w:val="24"/>
        </w:rPr>
        <w:t>”); and</w:t>
      </w:r>
      <w:r w:rsidR="00633F8F">
        <w:rPr>
          <w:szCs w:val="24"/>
        </w:rPr>
        <w:t xml:space="preserve"> </w:t>
      </w:r>
      <w:r w:rsidR="00DC5A77">
        <w:rPr>
          <w:szCs w:val="24"/>
        </w:rPr>
        <w:t xml:space="preserve">preliminarily approved </w:t>
      </w:r>
      <w:r w:rsidR="00633F8F">
        <w:rPr>
          <w:szCs w:val="24"/>
        </w:rPr>
        <w:t>in</w:t>
      </w:r>
      <w:r w:rsidR="00E321C2" w:rsidRPr="001E655E">
        <w:rPr>
          <w:szCs w:val="24"/>
        </w:rPr>
        <w:t xml:space="preserve"> </w:t>
      </w:r>
      <w:r w:rsidR="00E321C2" w:rsidRPr="001E655E">
        <w:rPr>
          <w:i/>
          <w:iCs/>
          <w:szCs w:val="24"/>
        </w:rPr>
        <w:t>Douglass v. Optavia LLC</w:t>
      </w:r>
      <w:r w:rsidR="00E321C2" w:rsidRPr="001E655E">
        <w:rPr>
          <w:szCs w:val="24"/>
        </w:rPr>
        <w:t>, No. 2:22-cv-00594, Doc. 18 (W.D. Pa. Sept. 14, 2022)</w:t>
      </w:r>
      <w:r w:rsidR="002125A9" w:rsidRPr="001E655E">
        <w:rPr>
          <w:szCs w:val="24"/>
        </w:rPr>
        <w:t xml:space="preserve"> </w:t>
      </w:r>
      <w:r w:rsidR="00E321C2" w:rsidRPr="001E655E">
        <w:rPr>
          <w:szCs w:val="24"/>
        </w:rPr>
        <w:t>(“</w:t>
      </w:r>
      <w:r w:rsidR="00E321C2" w:rsidRPr="001E655E">
        <w:rPr>
          <w:i/>
          <w:iCs/>
          <w:szCs w:val="24"/>
        </w:rPr>
        <w:t>Optavia</w:t>
      </w:r>
      <w:r w:rsidR="00E321C2" w:rsidRPr="001E655E">
        <w:rPr>
          <w:szCs w:val="24"/>
        </w:rPr>
        <w:t>”)</w:t>
      </w:r>
      <w:r w:rsidR="00E321C2" w:rsidRPr="00B27D2C">
        <w:rPr>
          <w:szCs w:val="24"/>
        </w:rPr>
        <w:t xml:space="preserve">. </w:t>
      </w:r>
      <w:r w:rsidR="00E411E5" w:rsidRPr="00B27D2C">
        <w:rPr>
          <w:szCs w:val="24"/>
        </w:rPr>
        <w:t>Plaintiff request</w:t>
      </w:r>
      <w:r w:rsidR="008F37C0" w:rsidRPr="00B27D2C">
        <w:rPr>
          <w:szCs w:val="24"/>
        </w:rPr>
        <w:t>s</w:t>
      </w:r>
      <w:r w:rsidR="00E411E5" w:rsidRPr="00B27D2C">
        <w:rPr>
          <w:szCs w:val="24"/>
        </w:rPr>
        <w:t xml:space="preserve"> </w:t>
      </w:r>
      <w:r w:rsidR="0078037E" w:rsidRPr="00B27D2C">
        <w:rPr>
          <w:szCs w:val="24"/>
        </w:rPr>
        <w:t xml:space="preserve">that </w:t>
      </w:r>
      <w:r w:rsidR="00E411E5" w:rsidRPr="00B27D2C">
        <w:rPr>
          <w:szCs w:val="24"/>
        </w:rPr>
        <w:t xml:space="preserve">the Court </w:t>
      </w:r>
      <w:r w:rsidR="00191890">
        <w:rPr>
          <w:szCs w:val="24"/>
        </w:rPr>
        <w:t>grant his motion</w:t>
      </w:r>
      <w:r w:rsidR="00E411E5" w:rsidRPr="00B27D2C">
        <w:rPr>
          <w:szCs w:val="24"/>
        </w:rPr>
        <w:t>.</w:t>
      </w:r>
    </w:p>
    <w:p w14:paraId="55D225AC" w14:textId="701B52E4" w:rsidR="00E411E5" w:rsidRPr="002055A1" w:rsidRDefault="00762262" w:rsidP="006C7448">
      <w:pPr>
        <w:pStyle w:val="ListParagraph"/>
        <w:keepNext/>
        <w:widowControl w:val="0"/>
        <w:numPr>
          <w:ilvl w:val="0"/>
          <w:numId w:val="2"/>
        </w:numPr>
        <w:spacing w:after="240"/>
        <w:ind w:left="0" w:right="720" w:firstLine="0"/>
        <w:contextualSpacing w:val="0"/>
        <w:rPr>
          <w:b/>
          <w:bCs/>
          <w:iCs/>
          <w:szCs w:val="24"/>
        </w:rPr>
      </w:pPr>
      <w:r w:rsidRPr="002055A1">
        <w:rPr>
          <w:b/>
          <w:bCs/>
          <w:iCs/>
          <w:szCs w:val="24"/>
        </w:rPr>
        <w:t>HISTORY OF THE LITIGATION</w:t>
      </w:r>
    </w:p>
    <w:p w14:paraId="73087AD5" w14:textId="1FF5C86E" w:rsidR="00191450" w:rsidRPr="00191450" w:rsidRDefault="00191450" w:rsidP="006C7448">
      <w:pPr>
        <w:pStyle w:val="ListParagraph"/>
        <w:widowControl w:val="0"/>
        <w:spacing w:line="480" w:lineRule="auto"/>
        <w:ind w:left="0" w:firstLine="720"/>
        <w:jc w:val="both"/>
        <w:rPr>
          <w:szCs w:val="24"/>
        </w:rPr>
      </w:pPr>
      <w:r w:rsidRPr="00191450">
        <w:rPr>
          <w:szCs w:val="24"/>
        </w:rPr>
        <w:t xml:space="preserve">In May 2020, Plaintiff attempted to access Defendant’s online stores, which are located at </w:t>
      </w:r>
      <w:bookmarkStart w:id="3" w:name="_Hlk103339093"/>
      <w:bookmarkStart w:id="4" w:name="_Hlk106077801"/>
      <w:r w:rsidRPr="00191450">
        <w:rPr>
          <w:szCs w:val="24"/>
        </w:rPr>
        <w:t xml:space="preserve">the </w:t>
      </w:r>
      <w:r w:rsidR="004F4272">
        <w:rPr>
          <w:szCs w:val="24"/>
        </w:rPr>
        <w:t>websites</w:t>
      </w:r>
      <w:r w:rsidRPr="00191450">
        <w:rPr>
          <w:szCs w:val="24"/>
        </w:rPr>
        <w:t xml:space="preserve"> listed in Exhibit A to the Agreement and which include, among others, </w:t>
      </w:r>
      <w:hyperlink r:id="rId17" w:history="1">
        <w:r w:rsidRPr="00191450">
          <w:rPr>
            <w:rStyle w:val="Hyperlink"/>
            <w:szCs w:val="24"/>
          </w:rPr>
          <w:t>www.oreo.com</w:t>
        </w:r>
      </w:hyperlink>
      <w:r w:rsidRPr="00191450">
        <w:rPr>
          <w:szCs w:val="24"/>
        </w:rPr>
        <w:t xml:space="preserve"> and </w:t>
      </w:r>
      <w:hyperlink r:id="rId18" w:history="1">
        <w:r w:rsidRPr="00191450">
          <w:rPr>
            <w:rStyle w:val="Hyperlink"/>
            <w:szCs w:val="24"/>
          </w:rPr>
          <w:t>www.ritzcrackers.com</w:t>
        </w:r>
      </w:hyperlink>
      <w:bookmarkEnd w:id="3"/>
      <w:bookmarkEnd w:id="4"/>
      <w:r w:rsidRPr="00191450">
        <w:rPr>
          <w:szCs w:val="24"/>
        </w:rPr>
        <w:t xml:space="preserve">. (Doc. 1, ¶ 45.) Plaintiff could not access </w:t>
      </w:r>
      <w:r w:rsidR="002C0C81">
        <w:rPr>
          <w:szCs w:val="24"/>
        </w:rPr>
        <w:t>the</w:t>
      </w:r>
      <w:r w:rsidR="004F4272">
        <w:rPr>
          <w:szCs w:val="24"/>
        </w:rPr>
        <w:t>se</w:t>
      </w:r>
      <w:r w:rsidR="002C0C81">
        <w:rPr>
          <w:szCs w:val="24"/>
        </w:rPr>
        <w:t xml:space="preserve"> </w:t>
      </w:r>
      <w:r w:rsidRPr="00191450">
        <w:rPr>
          <w:szCs w:val="24"/>
        </w:rPr>
        <w:t>stores because they were not compatible with screen reader auxiliary aids, which Plaintiff uses to access digital content because he is blind.</w:t>
      </w:r>
      <w:r w:rsidRPr="00191450">
        <w:rPr>
          <w:szCs w:val="24"/>
          <w:vertAlign w:val="superscript"/>
        </w:rPr>
        <w:footnoteReference w:id="2"/>
      </w:r>
      <w:r w:rsidRPr="00191450">
        <w:rPr>
          <w:szCs w:val="24"/>
        </w:rPr>
        <w:t xml:space="preserve"> (</w:t>
      </w:r>
      <w:r w:rsidRPr="00191450">
        <w:rPr>
          <w:i/>
          <w:iCs/>
          <w:szCs w:val="24"/>
        </w:rPr>
        <w:t>Id.</w:t>
      </w:r>
      <w:r w:rsidR="00607E1D">
        <w:rPr>
          <w:szCs w:val="24"/>
        </w:rPr>
        <w:t xml:space="preserve">, </w:t>
      </w:r>
      <w:r w:rsidRPr="00191450">
        <w:rPr>
          <w:szCs w:val="24"/>
        </w:rPr>
        <w:t>¶¶ 20, 45.) Plaintiff contacted Defendant to explore a prelitigation solution that would ensure</w:t>
      </w:r>
      <w:r w:rsidR="00534132">
        <w:rPr>
          <w:szCs w:val="24"/>
        </w:rPr>
        <w:t xml:space="preserve"> </w:t>
      </w:r>
      <w:r w:rsidR="002C0C81">
        <w:rPr>
          <w:szCs w:val="24"/>
        </w:rPr>
        <w:t>Defendant’s</w:t>
      </w:r>
      <w:r w:rsidRPr="00191450">
        <w:rPr>
          <w:szCs w:val="24"/>
        </w:rPr>
        <w:t xml:space="preserve"> stores become accessible. (</w:t>
      </w:r>
      <w:r w:rsidRPr="00191450">
        <w:rPr>
          <w:i/>
          <w:iCs/>
          <w:szCs w:val="24"/>
        </w:rPr>
        <w:t>Id</w:t>
      </w:r>
      <w:r w:rsidRPr="00191450">
        <w:rPr>
          <w:szCs w:val="24"/>
        </w:rPr>
        <w:t>.</w:t>
      </w:r>
      <w:r w:rsidR="00607E1D">
        <w:rPr>
          <w:szCs w:val="24"/>
        </w:rPr>
        <w:t>,</w:t>
      </w:r>
      <w:r w:rsidRPr="00191450">
        <w:rPr>
          <w:szCs w:val="24"/>
        </w:rPr>
        <w:t xml:space="preserve"> ¶ 46.)</w:t>
      </w:r>
    </w:p>
    <w:p w14:paraId="2B9BFD03" w14:textId="287442B2" w:rsidR="00191450" w:rsidRPr="0077397E" w:rsidRDefault="00191450" w:rsidP="00191450">
      <w:pPr>
        <w:pStyle w:val="ListParagraph"/>
        <w:widowControl w:val="0"/>
        <w:spacing w:line="480" w:lineRule="auto"/>
        <w:ind w:left="0" w:firstLine="720"/>
        <w:jc w:val="both"/>
        <w:rPr>
          <w:szCs w:val="24"/>
        </w:rPr>
      </w:pPr>
      <w:r>
        <w:rPr>
          <w:szCs w:val="24"/>
        </w:rPr>
        <w:t xml:space="preserve">In June 2022, </w:t>
      </w:r>
      <w:r w:rsidRPr="0077397E">
        <w:rPr>
          <w:szCs w:val="24"/>
        </w:rPr>
        <w:t>Plaintiff filed a class action complaint seek</w:t>
      </w:r>
      <w:r>
        <w:rPr>
          <w:szCs w:val="24"/>
        </w:rPr>
        <w:t>ing</w:t>
      </w:r>
      <w:r w:rsidRPr="0077397E">
        <w:rPr>
          <w:szCs w:val="24"/>
        </w:rPr>
        <w:t xml:space="preserve"> declaratory and injunctive </w:t>
      </w:r>
      <w:r w:rsidRPr="0077397E">
        <w:rPr>
          <w:szCs w:val="24"/>
        </w:rPr>
        <w:lastRenderedPageBreak/>
        <w:t>relief</w:t>
      </w:r>
      <w:r>
        <w:rPr>
          <w:szCs w:val="24"/>
        </w:rPr>
        <w:t xml:space="preserve"> and </w:t>
      </w:r>
      <w:r w:rsidRPr="0077397E">
        <w:rPr>
          <w:szCs w:val="24"/>
        </w:rPr>
        <w:t xml:space="preserve">alleging Defendant does not have, and has never had, adequate policies and practices to cause its </w:t>
      </w:r>
      <w:r>
        <w:rPr>
          <w:szCs w:val="24"/>
        </w:rPr>
        <w:t>stores</w:t>
      </w:r>
      <w:r w:rsidRPr="0077397E">
        <w:rPr>
          <w:szCs w:val="24"/>
        </w:rPr>
        <w:t xml:space="preserve"> to be accessible to blind persons, in violation of Title III of the Americans with Disabilities Act, 42 U.S.C. §§ 12181</w:t>
      </w:r>
      <w:r>
        <w:rPr>
          <w:szCs w:val="24"/>
        </w:rPr>
        <w:t>,</w:t>
      </w:r>
      <w:r w:rsidRPr="0077397E">
        <w:rPr>
          <w:szCs w:val="24"/>
        </w:rPr>
        <w:t xml:space="preserve"> </w:t>
      </w:r>
      <w:r w:rsidRPr="0077397E">
        <w:rPr>
          <w:i/>
          <w:iCs/>
          <w:szCs w:val="24"/>
        </w:rPr>
        <w:t>et seq</w:t>
      </w:r>
      <w:r w:rsidRPr="0077397E">
        <w:rPr>
          <w:szCs w:val="24"/>
        </w:rPr>
        <w:t xml:space="preserve">., and its implementing regulations (“ADA”). </w:t>
      </w:r>
      <w:r>
        <w:rPr>
          <w:szCs w:val="24"/>
        </w:rPr>
        <w:t>(</w:t>
      </w:r>
      <w:r w:rsidRPr="0077397E">
        <w:rPr>
          <w:szCs w:val="24"/>
        </w:rPr>
        <w:t>Doc. 1.</w:t>
      </w:r>
      <w:r>
        <w:rPr>
          <w:szCs w:val="24"/>
        </w:rPr>
        <w:t>)</w:t>
      </w:r>
    </w:p>
    <w:p w14:paraId="5F5DB76B" w14:textId="412E2D03" w:rsidR="000D4968" w:rsidRPr="00191450" w:rsidRDefault="00191450" w:rsidP="00191450">
      <w:pPr>
        <w:pStyle w:val="ListParagraph"/>
        <w:widowControl w:val="0"/>
        <w:spacing w:line="480" w:lineRule="auto"/>
        <w:ind w:left="0" w:firstLine="720"/>
        <w:jc w:val="both"/>
        <w:rPr>
          <w:szCs w:val="24"/>
        </w:rPr>
      </w:pPr>
      <w:r w:rsidRPr="0077397E">
        <w:rPr>
          <w:szCs w:val="24"/>
        </w:rPr>
        <w:t>The parties have since agreed to resolve this class action as set forth in the Agreement.</w:t>
      </w:r>
    </w:p>
    <w:p w14:paraId="307FD638" w14:textId="27838C47" w:rsidR="00445704" w:rsidRPr="00544EC9" w:rsidRDefault="00762262" w:rsidP="006C7448">
      <w:pPr>
        <w:pStyle w:val="ListParagraph"/>
        <w:keepNext/>
        <w:widowControl w:val="0"/>
        <w:numPr>
          <w:ilvl w:val="0"/>
          <w:numId w:val="2"/>
        </w:numPr>
        <w:spacing w:after="240"/>
        <w:ind w:left="0" w:right="720" w:firstLine="0"/>
        <w:contextualSpacing w:val="0"/>
        <w:rPr>
          <w:b/>
          <w:bCs/>
          <w:iCs/>
          <w:szCs w:val="24"/>
        </w:rPr>
      </w:pPr>
      <w:r w:rsidRPr="00544EC9">
        <w:rPr>
          <w:b/>
          <w:bCs/>
          <w:iCs/>
          <w:szCs w:val="24"/>
        </w:rPr>
        <w:t>SUMMARY OF THE AGREEMENT</w:t>
      </w:r>
    </w:p>
    <w:p w14:paraId="5CD6A45F" w14:textId="165D2569" w:rsidR="00255C09" w:rsidRPr="00152A36" w:rsidRDefault="008F37C0" w:rsidP="006C7448">
      <w:pPr>
        <w:pStyle w:val="ListParagraph"/>
        <w:widowControl w:val="0"/>
        <w:spacing w:line="480" w:lineRule="auto"/>
        <w:ind w:left="0" w:firstLine="720"/>
        <w:jc w:val="both"/>
        <w:rPr>
          <w:szCs w:val="24"/>
        </w:rPr>
      </w:pPr>
      <w:r w:rsidRPr="00544EC9">
        <w:rPr>
          <w:iCs/>
          <w:szCs w:val="24"/>
        </w:rPr>
        <w:t>Plaintiff</w:t>
      </w:r>
      <w:r w:rsidR="00255C09" w:rsidRPr="00544EC9">
        <w:rPr>
          <w:iCs/>
          <w:szCs w:val="24"/>
        </w:rPr>
        <w:t xml:space="preserve"> brought this action to ensure </w:t>
      </w:r>
      <w:r w:rsidR="00544EC9" w:rsidRPr="00544EC9">
        <w:rPr>
          <w:iCs/>
          <w:szCs w:val="24"/>
        </w:rPr>
        <w:t xml:space="preserve">that </w:t>
      </w:r>
      <w:r w:rsidR="00255C09" w:rsidRPr="00544EC9">
        <w:rPr>
          <w:iCs/>
          <w:szCs w:val="24"/>
        </w:rPr>
        <w:t xml:space="preserve">blind individuals have equal access to online goods, </w:t>
      </w:r>
      <w:r w:rsidR="00255C09" w:rsidRPr="00152A36">
        <w:rPr>
          <w:iCs/>
          <w:szCs w:val="24"/>
        </w:rPr>
        <w:t xml:space="preserve">programs, and services </w:t>
      </w:r>
      <w:r w:rsidR="00B61C4C">
        <w:rPr>
          <w:iCs/>
          <w:szCs w:val="24"/>
        </w:rPr>
        <w:t xml:space="preserve">that </w:t>
      </w:r>
      <w:r w:rsidR="00255C09" w:rsidRPr="00152A36">
        <w:rPr>
          <w:iCs/>
          <w:szCs w:val="24"/>
        </w:rPr>
        <w:t xml:space="preserve">Defendant makes available </w:t>
      </w:r>
      <w:r w:rsidR="00057403">
        <w:rPr>
          <w:iCs/>
          <w:szCs w:val="24"/>
        </w:rPr>
        <w:t>through</w:t>
      </w:r>
      <w:r w:rsidR="00DA6034" w:rsidRPr="00152A36">
        <w:rPr>
          <w:iCs/>
          <w:szCs w:val="24"/>
        </w:rPr>
        <w:t xml:space="preserve"> </w:t>
      </w:r>
      <w:r w:rsidR="00255C09" w:rsidRPr="00152A36">
        <w:rPr>
          <w:iCs/>
          <w:szCs w:val="24"/>
        </w:rPr>
        <w:t>its online store</w:t>
      </w:r>
      <w:r w:rsidR="00EA1C2F" w:rsidRPr="00152A36">
        <w:rPr>
          <w:iCs/>
          <w:szCs w:val="24"/>
        </w:rPr>
        <w:t>s</w:t>
      </w:r>
      <w:r w:rsidR="00255C09" w:rsidRPr="00152A36">
        <w:rPr>
          <w:szCs w:val="24"/>
        </w:rPr>
        <w:t>.</w:t>
      </w:r>
      <w:r w:rsidR="00D362D7" w:rsidRPr="00152A36">
        <w:rPr>
          <w:szCs w:val="24"/>
        </w:rPr>
        <w:t xml:space="preserve"> The relief afforded by the </w:t>
      </w:r>
      <w:r w:rsidR="00C2678F" w:rsidRPr="00152A36">
        <w:rPr>
          <w:szCs w:val="24"/>
        </w:rPr>
        <w:t>Agreement</w:t>
      </w:r>
      <w:r w:rsidR="00D362D7" w:rsidRPr="00152A36">
        <w:rPr>
          <w:szCs w:val="24"/>
        </w:rPr>
        <w:t xml:space="preserve"> achieves that goal and more. A description of </w:t>
      </w:r>
      <w:r w:rsidR="00F82E25" w:rsidRPr="00152A36">
        <w:rPr>
          <w:szCs w:val="24"/>
        </w:rPr>
        <w:t xml:space="preserve">its </w:t>
      </w:r>
      <w:r w:rsidR="00D362D7" w:rsidRPr="00152A36">
        <w:rPr>
          <w:szCs w:val="24"/>
        </w:rPr>
        <w:t>key provisions follows.</w:t>
      </w:r>
    </w:p>
    <w:p w14:paraId="14948FD4" w14:textId="3214F7AD" w:rsidR="00D362D7" w:rsidRPr="00152A36" w:rsidRDefault="00D362D7" w:rsidP="006C7448">
      <w:pPr>
        <w:pStyle w:val="ListParagraph"/>
        <w:keepNext/>
        <w:widowControl w:val="0"/>
        <w:numPr>
          <w:ilvl w:val="1"/>
          <w:numId w:val="1"/>
        </w:numPr>
        <w:tabs>
          <w:tab w:val="left" w:pos="720"/>
          <w:tab w:val="left" w:pos="1440"/>
          <w:tab w:val="left" w:leader="dot" w:pos="8928"/>
        </w:tabs>
        <w:spacing w:after="240"/>
        <w:ind w:right="720" w:hanging="720"/>
        <w:contextualSpacing w:val="0"/>
        <w:rPr>
          <w:b/>
          <w:bCs/>
          <w:szCs w:val="24"/>
        </w:rPr>
      </w:pPr>
      <w:r w:rsidRPr="00152A36">
        <w:rPr>
          <w:b/>
          <w:bCs/>
          <w:iCs/>
          <w:szCs w:val="24"/>
        </w:rPr>
        <w:t xml:space="preserve">Key Terms Used </w:t>
      </w:r>
      <w:r w:rsidR="0038007D" w:rsidRPr="00152A36">
        <w:rPr>
          <w:b/>
          <w:bCs/>
          <w:iCs/>
          <w:szCs w:val="24"/>
        </w:rPr>
        <w:t xml:space="preserve">In The </w:t>
      </w:r>
      <w:r w:rsidR="00C2678F" w:rsidRPr="00152A36">
        <w:rPr>
          <w:b/>
          <w:bCs/>
          <w:iCs/>
          <w:szCs w:val="24"/>
        </w:rPr>
        <w:t>Agreement</w:t>
      </w:r>
    </w:p>
    <w:p w14:paraId="634381C0" w14:textId="441F4832" w:rsidR="001E7182" w:rsidRPr="005F4C7F" w:rsidRDefault="003A697D" w:rsidP="005F4C7F">
      <w:pPr>
        <w:widowControl w:val="0"/>
        <w:spacing w:line="480" w:lineRule="auto"/>
        <w:ind w:firstLine="720"/>
        <w:jc w:val="both"/>
        <w:rPr>
          <w:szCs w:val="24"/>
        </w:rPr>
      </w:pPr>
      <w:r w:rsidRPr="005F4C7F">
        <w:rPr>
          <w:iCs/>
          <w:szCs w:val="24"/>
        </w:rPr>
        <w:t xml:space="preserve">The Agreement defines “Websites” as </w:t>
      </w:r>
      <w:r w:rsidRPr="005F4C7F">
        <w:rPr>
          <w:szCs w:val="24"/>
        </w:rPr>
        <w:t xml:space="preserve">the digital properties identified in Exhibit A thereto, and “Digital Properties” as including not only the “Websites,” but also any </w:t>
      </w:r>
      <w:r w:rsidRPr="005F4C7F">
        <w:rPr>
          <w:iCs/>
          <w:szCs w:val="24"/>
        </w:rPr>
        <w:t>“New Websites and Mobile Apps” and “Subsequently Acquired Websites and Mobile Apps.” (</w:t>
      </w:r>
      <w:r w:rsidRPr="005F4C7F">
        <w:rPr>
          <w:szCs w:val="24"/>
        </w:rPr>
        <w:t>Ex. 1,</w:t>
      </w:r>
      <w:r w:rsidRPr="005F4C7F">
        <w:rPr>
          <w:iCs/>
          <w:szCs w:val="24"/>
        </w:rPr>
        <w:t xml:space="preserve"> §§ </w:t>
      </w:r>
      <w:r w:rsidRPr="005F4C7F">
        <w:rPr>
          <w:szCs w:val="24"/>
        </w:rPr>
        <w:t xml:space="preserve">2.42, </w:t>
      </w:r>
      <w:r w:rsidRPr="005F4C7F">
        <w:rPr>
          <w:iCs/>
          <w:szCs w:val="24"/>
        </w:rPr>
        <w:t>2.16.)</w:t>
      </w:r>
    </w:p>
    <w:p w14:paraId="304958CF" w14:textId="1680B31C" w:rsidR="00297521" w:rsidRPr="00225651" w:rsidRDefault="00514E63" w:rsidP="00225651">
      <w:pPr>
        <w:widowControl w:val="0"/>
        <w:spacing w:line="480" w:lineRule="auto"/>
        <w:ind w:firstLine="720"/>
        <w:jc w:val="both"/>
        <w:rPr>
          <w:iCs/>
          <w:szCs w:val="24"/>
        </w:rPr>
      </w:pPr>
      <w:r w:rsidRPr="00514E63">
        <w:rPr>
          <w:iCs/>
          <w:szCs w:val="24"/>
        </w:rPr>
        <w:t>“Settlement Class” or “Settlement Class Members” means “all Blind or Visually Disabled individuals who use screen reader auxiliary aids to navigate digital content and who have accessed, attempted to access, or been deterred from attempting to access, or who will access, attempt to access, or be deterred from accessing the Websites from the United States.” (Ex. 1, § 2.35.)</w:t>
      </w:r>
    </w:p>
    <w:p w14:paraId="330BD84A" w14:textId="1A0A05BC" w:rsidR="00154A78" w:rsidRDefault="00154A78" w:rsidP="006C7448">
      <w:pPr>
        <w:pStyle w:val="ListParagraph"/>
        <w:widowControl w:val="0"/>
        <w:spacing w:line="480" w:lineRule="auto"/>
        <w:ind w:left="0" w:firstLine="720"/>
        <w:contextualSpacing w:val="0"/>
        <w:jc w:val="both"/>
        <w:rPr>
          <w:iCs/>
          <w:szCs w:val="24"/>
        </w:rPr>
      </w:pPr>
      <w:r w:rsidRPr="00AC7FA4">
        <w:rPr>
          <w:iCs/>
          <w:szCs w:val="24"/>
        </w:rPr>
        <w:t xml:space="preserve">The </w:t>
      </w:r>
      <w:r w:rsidR="00C2678F" w:rsidRPr="00AC7FA4">
        <w:rPr>
          <w:iCs/>
          <w:szCs w:val="24"/>
        </w:rPr>
        <w:t>Agreement</w:t>
      </w:r>
      <w:r w:rsidRPr="00AC7FA4">
        <w:rPr>
          <w:iCs/>
          <w:szCs w:val="24"/>
        </w:rPr>
        <w:t xml:space="preserve"> defines </w:t>
      </w:r>
      <w:r w:rsidR="006B317C" w:rsidRPr="00AC7FA4">
        <w:rPr>
          <w:iCs/>
          <w:szCs w:val="24"/>
        </w:rPr>
        <w:t>“</w:t>
      </w:r>
      <w:r w:rsidRPr="00AC7FA4">
        <w:rPr>
          <w:iCs/>
          <w:szCs w:val="24"/>
        </w:rPr>
        <w:t>Accessible</w:t>
      </w:r>
      <w:r w:rsidR="006B317C" w:rsidRPr="00AC7FA4">
        <w:rPr>
          <w:iCs/>
          <w:szCs w:val="24"/>
        </w:rPr>
        <w:t>”</w:t>
      </w:r>
      <w:r w:rsidRPr="00AC7FA4">
        <w:rPr>
          <w:iCs/>
          <w:szCs w:val="24"/>
        </w:rPr>
        <w:t xml:space="preserve"> with reference to the Web Content Accessibility Guidelines</w:t>
      </w:r>
      <w:r w:rsidR="007F752A" w:rsidRPr="00AC7FA4">
        <w:rPr>
          <w:iCs/>
          <w:szCs w:val="24"/>
        </w:rPr>
        <w:t xml:space="preserve"> </w:t>
      </w:r>
      <w:r w:rsidR="00134840" w:rsidRPr="00AC7FA4">
        <w:rPr>
          <w:iCs/>
          <w:szCs w:val="24"/>
        </w:rPr>
        <w:t xml:space="preserve">(“WCAG”) </w:t>
      </w:r>
      <w:r w:rsidRPr="00AC7FA4">
        <w:rPr>
          <w:iCs/>
          <w:szCs w:val="24"/>
        </w:rPr>
        <w:t xml:space="preserve">2.1. </w:t>
      </w:r>
      <w:r w:rsidR="007F752A" w:rsidRPr="00AC7FA4">
        <w:rPr>
          <w:iCs/>
          <w:szCs w:val="24"/>
        </w:rPr>
        <w:t>(</w:t>
      </w:r>
      <w:r w:rsidR="005C2A9C" w:rsidRPr="00AC7FA4">
        <w:rPr>
          <w:iCs/>
          <w:szCs w:val="24"/>
        </w:rPr>
        <w:t>Ex. 1</w:t>
      </w:r>
      <w:r w:rsidRPr="00AC7FA4">
        <w:rPr>
          <w:iCs/>
          <w:szCs w:val="24"/>
        </w:rPr>
        <w:t>, §</w:t>
      </w:r>
      <w:r w:rsidR="00E64A88" w:rsidRPr="00AC7FA4">
        <w:rPr>
          <w:iCs/>
          <w:szCs w:val="24"/>
        </w:rPr>
        <w:t>§</w:t>
      </w:r>
      <w:r w:rsidRPr="00AC7FA4">
        <w:rPr>
          <w:iCs/>
          <w:szCs w:val="24"/>
        </w:rPr>
        <w:t xml:space="preserve"> 2.</w:t>
      </w:r>
      <w:r w:rsidR="00134840" w:rsidRPr="00AC7FA4">
        <w:rPr>
          <w:iCs/>
          <w:szCs w:val="24"/>
        </w:rPr>
        <w:t>7</w:t>
      </w:r>
      <w:r w:rsidR="005B5D28" w:rsidRPr="00AC7FA4">
        <w:rPr>
          <w:iCs/>
          <w:szCs w:val="24"/>
        </w:rPr>
        <w:t>,</w:t>
      </w:r>
      <w:r w:rsidR="00E64A88" w:rsidRPr="00AC7FA4">
        <w:rPr>
          <w:iCs/>
          <w:szCs w:val="24"/>
        </w:rPr>
        <w:t xml:space="preserve"> 2.</w:t>
      </w:r>
      <w:r w:rsidR="009915BD" w:rsidRPr="00AC7FA4">
        <w:rPr>
          <w:iCs/>
          <w:szCs w:val="24"/>
        </w:rPr>
        <w:t>4</w:t>
      </w:r>
      <w:r w:rsidR="00134840" w:rsidRPr="00AC7FA4">
        <w:rPr>
          <w:iCs/>
          <w:szCs w:val="24"/>
        </w:rPr>
        <w:t>1</w:t>
      </w:r>
      <w:r w:rsidRPr="00AC7FA4">
        <w:rPr>
          <w:iCs/>
          <w:szCs w:val="24"/>
        </w:rPr>
        <w:t>.</w:t>
      </w:r>
      <w:r w:rsidR="007F752A" w:rsidRPr="00AC7FA4">
        <w:rPr>
          <w:iCs/>
          <w:szCs w:val="24"/>
        </w:rPr>
        <w:t>)</w:t>
      </w:r>
      <w:r w:rsidRPr="00AC7FA4">
        <w:rPr>
          <w:iCs/>
          <w:szCs w:val="24"/>
        </w:rPr>
        <w:t xml:space="preserve"> </w:t>
      </w:r>
      <w:r w:rsidR="00E64A88" w:rsidRPr="00AC7FA4">
        <w:rPr>
          <w:iCs/>
          <w:szCs w:val="24"/>
        </w:rPr>
        <w:t xml:space="preserve">The </w:t>
      </w:r>
      <w:r w:rsidRPr="00AC7FA4">
        <w:rPr>
          <w:iCs/>
          <w:szCs w:val="24"/>
        </w:rPr>
        <w:t>WCAG are based on four general principles</w:t>
      </w:r>
      <w:r w:rsidR="00AC7FA4" w:rsidRPr="00AC7FA4">
        <w:rPr>
          <w:iCs/>
          <w:szCs w:val="24"/>
        </w:rPr>
        <w:t xml:space="preserve"> </w:t>
      </w:r>
      <w:r w:rsidRPr="00AC7FA4">
        <w:rPr>
          <w:iCs/>
          <w:szCs w:val="24"/>
        </w:rPr>
        <w:t xml:space="preserve">—that digital content be perceivable, operable, understandable, and robust. </w:t>
      </w:r>
      <w:r w:rsidR="009815AC" w:rsidRPr="00AC7FA4">
        <w:rPr>
          <w:iCs/>
          <w:szCs w:val="24"/>
        </w:rPr>
        <w:t>The U.S. Department of Justice (</w:t>
      </w:r>
      <w:r w:rsidR="006B317C" w:rsidRPr="00AC7FA4">
        <w:rPr>
          <w:iCs/>
          <w:szCs w:val="24"/>
        </w:rPr>
        <w:t>“</w:t>
      </w:r>
      <w:r w:rsidR="009815AC" w:rsidRPr="00AC7FA4">
        <w:rPr>
          <w:iCs/>
          <w:szCs w:val="24"/>
        </w:rPr>
        <w:t>DOJ</w:t>
      </w:r>
      <w:r w:rsidR="006B317C" w:rsidRPr="00AC7FA4">
        <w:rPr>
          <w:iCs/>
          <w:szCs w:val="24"/>
        </w:rPr>
        <w:t>”</w:t>
      </w:r>
      <w:r w:rsidR="009815AC" w:rsidRPr="00AC7FA4">
        <w:rPr>
          <w:iCs/>
          <w:szCs w:val="24"/>
        </w:rPr>
        <w:t>) relie</w:t>
      </w:r>
      <w:r w:rsidR="005B5D28" w:rsidRPr="00AC7FA4">
        <w:rPr>
          <w:iCs/>
          <w:szCs w:val="24"/>
        </w:rPr>
        <w:t>s</w:t>
      </w:r>
      <w:r w:rsidR="009815AC" w:rsidRPr="00AC7FA4">
        <w:rPr>
          <w:iCs/>
          <w:szCs w:val="24"/>
        </w:rPr>
        <w:t xml:space="preserve"> on </w:t>
      </w:r>
      <w:r w:rsidR="005C2A9C" w:rsidRPr="00AC7FA4">
        <w:rPr>
          <w:iCs/>
          <w:szCs w:val="24"/>
        </w:rPr>
        <w:t xml:space="preserve">the </w:t>
      </w:r>
      <w:r w:rsidR="009815AC" w:rsidRPr="00AC7FA4">
        <w:rPr>
          <w:iCs/>
          <w:szCs w:val="24"/>
        </w:rPr>
        <w:t xml:space="preserve">WCAG </w:t>
      </w:r>
      <w:r w:rsidR="005B5D28" w:rsidRPr="00AC7FA4">
        <w:rPr>
          <w:iCs/>
          <w:szCs w:val="24"/>
        </w:rPr>
        <w:t xml:space="preserve">to </w:t>
      </w:r>
      <w:r w:rsidR="009815AC" w:rsidRPr="00AC7FA4">
        <w:rPr>
          <w:iCs/>
          <w:szCs w:val="24"/>
        </w:rPr>
        <w:t>resolv</w:t>
      </w:r>
      <w:r w:rsidR="005B5D28" w:rsidRPr="00AC7FA4">
        <w:rPr>
          <w:iCs/>
          <w:szCs w:val="24"/>
        </w:rPr>
        <w:t>e</w:t>
      </w:r>
      <w:r w:rsidR="009815AC" w:rsidRPr="00AC7FA4">
        <w:rPr>
          <w:iCs/>
          <w:szCs w:val="24"/>
        </w:rPr>
        <w:t xml:space="preserve"> enforcement actions a</w:t>
      </w:r>
      <w:r w:rsidR="005B5D28" w:rsidRPr="00AC7FA4">
        <w:rPr>
          <w:iCs/>
          <w:szCs w:val="24"/>
        </w:rPr>
        <w:t>kin to Plaintiff’s claims</w:t>
      </w:r>
      <w:r w:rsidR="009815AC" w:rsidRPr="00AC7FA4">
        <w:rPr>
          <w:iCs/>
          <w:szCs w:val="24"/>
        </w:rPr>
        <w:t>.</w:t>
      </w:r>
      <w:r w:rsidR="009815AC" w:rsidRPr="00AC7FA4">
        <w:rPr>
          <w:rStyle w:val="FootnoteReference"/>
          <w:iCs/>
          <w:szCs w:val="24"/>
        </w:rPr>
        <w:footnoteReference w:id="3"/>
      </w:r>
      <w:r w:rsidR="009815AC" w:rsidRPr="005C2A9C">
        <w:rPr>
          <w:iCs/>
          <w:szCs w:val="24"/>
        </w:rPr>
        <w:t xml:space="preserve"> </w:t>
      </w:r>
      <w:r w:rsidR="00505DBB" w:rsidRPr="005C2A9C">
        <w:rPr>
          <w:iCs/>
          <w:szCs w:val="24"/>
        </w:rPr>
        <w:lastRenderedPageBreak/>
        <w:t>So</w:t>
      </w:r>
      <w:r w:rsidR="005C2A9C" w:rsidRPr="005C2A9C">
        <w:rPr>
          <w:iCs/>
          <w:szCs w:val="24"/>
        </w:rPr>
        <w:t>,</w:t>
      </w:r>
      <w:r w:rsidR="00505DBB" w:rsidRPr="005C2A9C">
        <w:rPr>
          <w:iCs/>
          <w:szCs w:val="24"/>
        </w:rPr>
        <w:t xml:space="preserve"> too</w:t>
      </w:r>
      <w:r w:rsidR="005C2A9C" w:rsidRPr="005C2A9C">
        <w:rPr>
          <w:iCs/>
          <w:szCs w:val="24"/>
        </w:rPr>
        <w:t>,</w:t>
      </w:r>
      <w:r w:rsidR="005B5D28" w:rsidRPr="005C2A9C">
        <w:rPr>
          <w:iCs/>
          <w:szCs w:val="24"/>
        </w:rPr>
        <w:t xml:space="preserve"> does</w:t>
      </w:r>
      <w:r w:rsidR="007D41DC" w:rsidRPr="005C2A9C">
        <w:rPr>
          <w:iCs/>
          <w:szCs w:val="24"/>
        </w:rPr>
        <w:t xml:space="preserve"> the</w:t>
      </w:r>
      <w:r w:rsidR="00505DBB" w:rsidRPr="005C2A9C">
        <w:rPr>
          <w:iCs/>
          <w:szCs w:val="24"/>
        </w:rPr>
        <w:t xml:space="preserve"> National Federation of the Blind</w:t>
      </w:r>
      <w:r w:rsidR="006C671C" w:rsidRPr="005C2A9C">
        <w:rPr>
          <w:iCs/>
          <w:szCs w:val="24"/>
        </w:rPr>
        <w:t xml:space="preserve"> (</w:t>
      </w:r>
      <w:r w:rsidR="006B317C" w:rsidRPr="005C2A9C">
        <w:rPr>
          <w:iCs/>
          <w:szCs w:val="24"/>
        </w:rPr>
        <w:t>“</w:t>
      </w:r>
      <w:r w:rsidR="006C671C" w:rsidRPr="005C2A9C">
        <w:rPr>
          <w:iCs/>
          <w:szCs w:val="24"/>
        </w:rPr>
        <w:t>NFB</w:t>
      </w:r>
      <w:r w:rsidR="006B317C" w:rsidRPr="005C2A9C">
        <w:rPr>
          <w:iCs/>
          <w:szCs w:val="24"/>
        </w:rPr>
        <w:t>”</w:t>
      </w:r>
      <w:r w:rsidR="006C671C" w:rsidRPr="005C2A9C">
        <w:rPr>
          <w:iCs/>
          <w:szCs w:val="24"/>
        </w:rPr>
        <w:t>)</w:t>
      </w:r>
      <w:r w:rsidR="00505DBB" w:rsidRPr="005C2A9C">
        <w:rPr>
          <w:iCs/>
          <w:szCs w:val="24"/>
        </w:rPr>
        <w:t>.</w:t>
      </w:r>
      <w:r w:rsidR="00505DBB" w:rsidRPr="005C2A9C">
        <w:rPr>
          <w:rStyle w:val="FootnoteReference"/>
          <w:iCs/>
          <w:szCs w:val="24"/>
        </w:rPr>
        <w:footnoteReference w:id="4"/>
      </w:r>
    </w:p>
    <w:p w14:paraId="56C47813" w14:textId="787BA876" w:rsidR="00A6153B" w:rsidRPr="00662BD5" w:rsidRDefault="00A6153B" w:rsidP="006C7448">
      <w:pPr>
        <w:pStyle w:val="ListParagraph"/>
        <w:widowControl w:val="0"/>
        <w:spacing w:line="480" w:lineRule="auto"/>
        <w:ind w:left="0" w:firstLine="720"/>
        <w:contextualSpacing w:val="0"/>
        <w:jc w:val="both"/>
        <w:rPr>
          <w:iCs/>
          <w:szCs w:val="24"/>
          <w:highlight w:val="yellow"/>
        </w:rPr>
      </w:pPr>
      <w:r>
        <w:rPr>
          <w:iCs/>
          <w:szCs w:val="24"/>
        </w:rPr>
        <w:t xml:space="preserve">“Agreement Term” means the time from the </w:t>
      </w:r>
      <w:r w:rsidR="006B592E">
        <w:rPr>
          <w:iCs/>
          <w:szCs w:val="24"/>
        </w:rPr>
        <w:t xml:space="preserve">date of “Final Approval” through 2 years from the date of “Final Approval.” </w:t>
      </w:r>
      <w:r>
        <w:rPr>
          <w:iCs/>
          <w:szCs w:val="24"/>
        </w:rPr>
        <w:t>(Ex. 1, §§ 2.10, 2.18, 2.19, 3.)</w:t>
      </w:r>
    </w:p>
    <w:p w14:paraId="234EED0D" w14:textId="30387A6A" w:rsidR="007F2802" w:rsidRPr="00225651" w:rsidRDefault="007F2802" w:rsidP="006C7448">
      <w:pPr>
        <w:pStyle w:val="ListParagraph"/>
        <w:keepNext/>
        <w:widowControl w:val="0"/>
        <w:numPr>
          <w:ilvl w:val="1"/>
          <w:numId w:val="1"/>
        </w:numPr>
        <w:tabs>
          <w:tab w:val="left" w:pos="720"/>
          <w:tab w:val="left" w:pos="1440"/>
          <w:tab w:val="left" w:leader="dot" w:pos="8928"/>
        </w:tabs>
        <w:spacing w:after="240"/>
        <w:ind w:right="720" w:hanging="720"/>
        <w:contextualSpacing w:val="0"/>
        <w:rPr>
          <w:b/>
          <w:bCs/>
          <w:szCs w:val="24"/>
        </w:rPr>
      </w:pPr>
      <w:r w:rsidRPr="00225651">
        <w:rPr>
          <w:b/>
          <w:bCs/>
          <w:iCs/>
          <w:szCs w:val="24"/>
        </w:rPr>
        <w:t xml:space="preserve">Content Covered By </w:t>
      </w:r>
      <w:r w:rsidR="0038007D" w:rsidRPr="00225651">
        <w:rPr>
          <w:b/>
          <w:bCs/>
          <w:iCs/>
          <w:szCs w:val="24"/>
        </w:rPr>
        <w:t xml:space="preserve">The </w:t>
      </w:r>
      <w:r w:rsidRPr="00225651">
        <w:rPr>
          <w:b/>
          <w:bCs/>
          <w:iCs/>
          <w:szCs w:val="24"/>
        </w:rPr>
        <w:t>Agreement</w:t>
      </w:r>
    </w:p>
    <w:p w14:paraId="25E8C5CB" w14:textId="6389E20C" w:rsidR="007F2802" w:rsidRPr="00BA14DC" w:rsidRDefault="00BA14DC" w:rsidP="006C7448">
      <w:pPr>
        <w:pStyle w:val="ListParagraph"/>
        <w:widowControl w:val="0"/>
        <w:spacing w:line="480" w:lineRule="auto"/>
        <w:ind w:left="0" w:firstLine="720"/>
        <w:contextualSpacing w:val="0"/>
        <w:jc w:val="both"/>
        <w:rPr>
          <w:szCs w:val="24"/>
        </w:rPr>
      </w:pPr>
      <w:r w:rsidRPr="00BA14DC">
        <w:rPr>
          <w:iCs/>
          <w:szCs w:val="24"/>
        </w:rPr>
        <w:t>While</w:t>
      </w:r>
      <w:r w:rsidR="00FB3B01" w:rsidRPr="00BA14DC">
        <w:rPr>
          <w:iCs/>
          <w:szCs w:val="24"/>
        </w:rPr>
        <w:t xml:space="preserve"> t</w:t>
      </w:r>
      <w:r w:rsidR="007F2802" w:rsidRPr="00BA14DC">
        <w:rPr>
          <w:iCs/>
          <w:szCs w:val="24"/>
        </w:rPr>
        <w:t xml:space="preserve">he </w:t>
      </w:r>
      <w:r w:rsidRPr="00BA14DC">
        <w:rPr>
          <w:iCs/>
          <w:szCs w:val="24"/>
        </w:rPr>
        <w:t>complaint</w:t>
      </w:r>
      <w:r w:rsidR="007F2802" w:rsidRPr="00BA14DC">
        <w:rPr>
          <w:iCs/>
          <w:szCs w:val="24"/>
        </w:rPr>
        <w:t xml:space="preserve"> concerns </w:t>
      </w:r>
      <w:r w:rsidR="008F37C0" w:rsidRPr="00BA14DC">
        <w:rPr>
          <w:iCs/>
          <w:szCs w:val="24"/>
        </w:rPr>
        <w:t xml:space="preserve">Plaintiff’s </w:t>
      </w:r>
      <w:r w:rsidR="007F2802" w:rsidRPr="00BA14DC">
        <w:rPr>
          <w:iCs/>
          <w:szCs w:val="24"/>
        </w:rPr>
        <w:t xml:space="preserve">inability to access </w:t>
      </w:r>
      <w:r w:rsidR="008908F3" w:rsidRPr="00BA14DC">
        <w:rPr>
          <w:iCs/>
          <w:szCs w:val="24"/>
        </w:rPr>
        <w:t>t</w:t>
      </w:r>
      <w:r w:rsidR="001E0AFA" w:rsidRPr="00BA14DC">
        <w:rPr>
          <w:iCs/>
          <w:szCs w:val="24"/>
        </w:rPr>
        <w:t>he</w:t>
      </w:r>
      <w:r w:rsidR="008908F3" w:rsidRPr="00BA14DC">
        <w:rPr>
          <w:iCs/>
          <w:szCs w:val="24"/>
        </w:rPr>
        <w:t xml:space="preserve"> </w:t>
      </w:r>
      <w:r w:rsidR="007F2802" w:rsidRPr="00BA14DC">
        <w:rPr>
          <w:iCs/>
          <w:szCs w:val="24"/>
        </w:rPr>
        <w:t>Website</w:t>
      </w:r>
      <w:r w:rsidRPr="00BA14DC">
        <w:rPr>
          <w:iCs/>
          <w:szCs w:val="24"/>
        </w:rPr>
        <w:t>s</w:t>
      </w:r>
      <w:r w:rsidR="00FB3B01" w:rsidRPr="00BA14DC">
        <w:rPr>
          <w:iCs/>
          <w:szCs w:val="24"/>
        </w:rPr>
        <w:t>,</w:t>
      </w:r>
      <w:r w:rsidR="007F2802" w:rsidRPr="00BA14DC">
        <w:rPr>
          <w:iCs/>
          <w:szCs w:val="24"/>
        </w:rPr>
        <w:t xml:space="preserve"> </w:t>
      </w:r>
      <w:r w:rsidR="00FB3B01" w:rsidRPr="00BA14DC">
        <w:rPr>
          <w:iCs/>
          <w:szCs w:val="24"/>
        </w:rPr>
        <w:t>t</w:t>
      </w:r>
      <w:r w:rsidR="007F2802" w:rsidRPr="00BA14DC">
        <w:rPr>
          <w:iCs/>
          <w:szCs w:val="24"/>
        </w:rPr>
        <w:t xml:space="preserve">he Agreement obligates Defendant to make all of </w:t>
      </w:r>
      <w:r w:rsidR="00F64754">
        <w:rPr>
          <w:iCs/>
          <w:szCs w:val="24"/>
        </w:rPr>
        <w:t>its</w:t>
      </w:r>
      <w:r w:rsidR="007F2802" w:rsidRPr="00BA14DC">
        <w:rPr>
          <w:iCs/>
          <w:szCs w:val="24"/>
        </w:rPr>
        <w:t xml:space="preserve"> Digital Properties Accessible. </w:t>
      </w:r>
      <w:r w:rsidR="007F2802" w:rsidRPr="00BA14DC">
        <w:rPr>
          <w:szCs w:val="24"/>
        </w:rPr>
        <w:t xml:space="preserve">The </w:t>
      </w:r>
      <w:r w:rsidR="001F283D" w:rsidRPr="00BA14DC">
        <w:rPr>
          <w:szCs w:val="24"/>
        </w:rPr>
        <w:t>breadth</w:t>
      </w:r>
      <w:r w:rsidR="007F2802" w:rsidRPr="00BA14DC">
        <w:rPr>
          <w:szCs w:val="24"/>
        </w:rPr>
        <w:t xml:space="preserve"> of </w:t>
      </w:r>
      <w:r w:rsidR="00D80E1C" w:rsidRPr="00BA14DC">
        <w:rPr>
          <w:szCs w:val="24"/>
        </w:rPr>
        <w:t xml:space="preserve">this </w:t>
      </w:r>
      <w:r w:rsidR="007F2802" w:rsidRPr="00BA14DC">
        <w:rPr>
          <w:szCs w:val="24"/>
        </w:rPr>
        <w:t xml:space="preserve">commitment demonstrates </w:t>
      </w:r>
      <w:r w:rsidR="001E0AFA" w:rsidRPr="00BA14DC">
        <w:rPr>
          <w:szCs w:val="24"/>
        </w:rPr>
        <w:t>one</w:t>
      </w:r>
      <w:r w:rsidR="007F2802" w:rsidRPr="00BA14DC">
        <w:rPr>
          <w:szCs w:val="24"/>
        </w:rPr>
        <w:t xml:space="preserve"> way in which the Agreement grants more than adequate relief</w:t>
      </w:r>
      <w:r w:rsidR="00126A1B" w:rsidRPr="00BA14DC">
        <w:rPr>
          <w:szCs w:val="24"/>
        </w:rPr>
        <w:t>.</w:t>
      </w:r>
    </w:p>
    <w:p w14:paraId="312019A0" w14:textId="3059B10E" w:rsidR="00126A1B" w:rsidRPr="00347753" w:rsidRDefault="00126A1B" w:rsidP="006C7448">
      <w:pPr>
        <w:pStyle w:val="ListParagraph"/>
        <w:widowControl w:val="0"/>
        <w:spacing w:line="480" w:lineRule="auto"/>
        <w:ind w:left="0" w:firstLine="720"/>
        <w:contextualSpacing w:val="0"/>
        <w:jc w:val="both"/>
        <w:rPr>
          <w:szCs w:val="24"/>
        </w:rPr>
      </w:pPr>
      <w:r w:rsidRPr="00347753">
        <w:rPr>
          <w:szCs w:val="24"/>
        </w:rPr>
        <w:t xml:space="preserve">The Agreement also extends to </w:t>
      </w:r>
      <w:r w:rsidR="00347753" w:rsidRPr="00347753">
        <w:rPr>
          <w:szCs w:val="24"/>
        </w:rPr>
        <w:t>“</w:t>
      </w:r>
      <w:r w:rsidRPr="00347753">
        <w:rPr>
          <w:szCs w:val="24"/>
        </w:rPr>
        <w:t>Third-Party Content</w:t>
      </w:r>
      <w:r w:rsidR="004C1B7A" w:rsidRPr="00347753">
        <w:rPr>
          <w:szCs w:val="24"/>
        </w:rPr>
        <w:t>,</w:t>
      </w:r>
      <w:r w:rsidR="00347753" w:rsidRPr="00347753">
        <w:rPr>
          <w:szCs w:val="24"/>
        </w:rPr>
        <w:t>”</w:t>
      </w:r>
      <w:r w:rsidR="00F72CB2" w:rsidRPr="00347753">
        <w:rPr>
          <w:szCs w:val="24"/>
        </w:rPr>
        <w:t xml:space="preserve"> </w:t>
      </w:r>
      <w:r w:rsidR="00347753" w:rsidRPr="00347753">
        <w:rPr>
          <w:szCs w:val="24"/>
        </w:rPr>
        <w:t xml:space="preserve">or content that is not developed or 100% owned by Defendant. (Ex. 1, </w:t>
      </w:r>
      <w:r w:rsidR="003240A7">
        <w:rPr>
          <w:szCs w:val="24"/>
        </w:rPr>
        <w:t>§</w:t>
      </w:r>
      <w:r w:rsidR="00347753" w:rsidRPr="00347753">
        <w:rPr>
          <w:szCs w:val="24"/>
        </w:rPr>
        <w:t xml:space="preserve"> 2.40.)</w:t>
      </w:r>
      <w:r w:rsidR="003240A7">
        <w:rPr>
          <w:szCs w:val="24"/>
        </w:rPr>
        <w:t xml:space="preserve"> The Agreement requires Defendant to </w:t>
      </w:r>
      <w:r w:rsidR="00057403">
        <w:rPr>
          <w:szCs w:val="24"/>
        </w:rPr>
        <w:t xml:space="preserve">ensure Third-Party Content is Accessible if it is necessary to complete a purchase or contact customer service, and requires that Defendant </w:t>
      </w:r>
      <w:r w:rsidR="003240A7">
        <w:rPr>
          <w:szCs w:val="24"/>
        </w:rPr>
        <w:t xml:space="preserve">request that Third-Party Content </w:t>
      </w:r>
      <w:r w:rsidR="00057403">
        <w:rPr>
          <w:szCs w:val="24"/>
        </w:rPr>
        <w:t xml:space="preserve">providers </w:t>
      </w:r>
      <w:r w:rsidR="003240A7">
        <w:rPr>
          <w:szCs w:val="24"/>
        </w:rPr>
        <w:t>provide content in a format that is Accessible. (</w:t>
      </w:r>
      <w:r w:rsidR="003240A7" w:rsidRPr="003240A7">
        <w:rPr>
          <w:i/>
          <w:iCs/>
          <w:szCs w:val="24"/>
        </w:rPr>
        <w:t>Id</w:t>
      </w:r>
      <w:r w:rsidR="003240A7">
        <w:rPr>
          <w:szCs w:val="24"/>
        </w:rPr>
        <w:t>.</w:t>
      </w:r>
      <w:r w:rsidR="005B1273">
        <w:rPr>
          <w:szCs w:val="24"/>
        </w:rPr>
        <w:t>,</w:t>
      </w:r>
      <w:r w:rsidR="003240A7">
        <w:rPr>
          <w:szCs w:val="24"/>
        </w:rPr>
        <w:t xml:space="preserve"> §§ </w:t>
      </w:r>
      <w:r w:rsidR="0062116D">
        <w:rPr>
          <w:szCs w:val="24"/>
        </w:rPr>
        <w:t>5.</w:t>
      </w:r>
      <w:r w:rsidR="001A6D2F">
        <w:rPr>
          <w:szCs w:val="24"/>
        </w:rPr>
        <w:t>1</w:t>
      </w:r>
      <w:r w:rsidR="0062116D">
        <w:rPr>
          <w:szCs w:val="24"/>
        </w:rPr>
        <w:t>, 5.</w:t>
      </w:r>
      <w:r w:rsidR="001A6D2F">
        <w:rPr>
          <w:szCs w:val="24"/>
        </w:rPr>
        <w:t>2</w:t>
      </w:r>
      <w:r w:rsidR="003240A7">
        <w:rPr>
          <w:szCs w:val="24"/>
        </w:rPr>
        <w:t>.)</w:t>
      </w:r>
    </w:p>
    <w:p w14:paraId="4A5A7ADD" w14:textId="53D0BFCA" w:rsidR="00126A1B" w:rsidRPr="002C501F" w:rsidRDefault="0038007D" w:rsidP="006C7448">
      <w:pPr>
        <w:pStyle w:val="ListParagraph"/>
        <w:keepNext/>
        <w:widowControl w:val="0"/>
        <w:numPr>
          <w:ilvl w:val="1"/>
          <w:numId w:val="1"/>
        </w:numPr>
        <w:tabs>
          <w:tab w:val="left" w:pos="720"/>
          <w:tab w:val="left" w:pos="1440"/>
          <w:tab w:val="left" w:leader="dot" w:pos="8928"/>
        </w:tabs>
        <w:spacing w:after="240"/>
        <w:ind w:right="720" w:hanging="720"/>
        <w:contextualSpacing w:val="0"/>
        <w:rPr>
          <w:b/>
          <w:bCs/>
          <w:szCs w:val="24"/>
        </w:rPr>
      </w:pPr>
      <w:r w:rsidRPr="002C501F">
        <w:rPr>
          <w:b/>
          <w:bCs/>
          <w:iCs/>
          <w:szCs w:val="24"/>
        </w:rPr>
        <w:t>Remediation Timeline</w:t>
      </w:r>
    </w:p>
    <w:p w14:paraId="4A6019D5" w14:textId="26892643" w:rsidR="0006265B" w:rsidRPr="00834761" w:rsidRDefault="001F283D" w:rsidP="006C7448">
      <w:pPr>
        <w:pStyle w:val="ListParagraph"/>
        <w:widowControl w:val="0"/>
        <w:spacing w:line="480" w:lineRule="auto"/>
        <w:ind w:left="0" w:firstLine="720"/>
        <w:contextualSpacing w:val="0"/>
        <w:jc w:val="both"/>
        <w:rPr>
          <w:iCs/>
          <w:szCs w:val="24"/>
        </w:rPr>
      </w:pPr>
      <w:r w:rsidRPr="00834761">
        <w:rPr>
          <w:iCs/>
          <w:szCs w:val="24"/>
        </w:rPr>
        <w:t xml:space="preserve">Defendant </w:t>
      </w:r>
      <w:r w:rsidR="00270CC6" w:rsidRPr="00834761">
        <w:rPr>
          <w:iCs/>
          <w:szCs w:val="24"/>
        </w:rPr>
        <w:t>must</w:t>
      </w:r>
      <w:r w:rsidR="00D80E1C" w:rsidRPr="00834761">
        <w:rPr>
          <w:iCs/>
          <w:szCs w:val="24"/>
        </w:rPr>
        <w:t xml:space="preserve"> </w:t>
      </w:r>
      <w:r w:rsidRPr="00834761">
        <w:rPr>
          <w:iCs/>
          <w:szCs w:val="24"/>
        </w:rPr>
        <w:t>ensure the U.S. portion</w:t>
      </w:r>
      <w:r w:rsidR="000E437E" w:rsidRPr="00834761">
        <w:rPr>
          <w:iCs/>
          <w:szCs w:val="24"/>
        </w:rPr>
        <w:t>s</w:t>
      </w:r>
      <w:r w:rsidRPr="00834761">
        <w:rPr>
          <w:iCs/>
          <w:szCs w:val="24"/>
        </w:rPr>
        <w:t xml:space="preserve"> of the Website</w:t>
      </w:r>
      <w:r w:rsidR="00834761" w:rsidRPr="00834761">
        <w:rPr>
          <w:iCs/>
          <w:szCs w:val="24"/>
        </w:rPr>
        <w:t>s</w:t>
      </w:r>
      <w:r w:rsidRPr="00834761">
        <w:rPr>
          <w:iCs/>
          <w:szCs w:val="24"/>
        </w:rPr>
        <w:t xml:space="preserve"> </w:t>
      </w:r>
      <w:r w:rsidR="000E437E" w:rsidRPr="00834761">
        <w:rPr>
          <w:iCs/>
          <w:szCs w:val="24"/>
        </w:rPr>
        <w:t>are</w:t>
      </w:r>
      <w:r w:rsidRPr="00834761">
        <w:rPr>
          <w:iCs/>
          <w:szCs w:val="24"/>
        </w:rPr>
        <w:t xml:space="preserve"> Accessible </w:t>
      </w:r>
      <w:r w:rsidR="000E437E" w:rsidRPr="00834761">
        <w:rPr>
          <w:iCs/>
          <w:szCs w:val="24"/>
        </w:rPr>
        <w:t xml:space="preserve">by the end of </w:t>
      </w:r>
      <w:r w:rsidRPr="00834761">
        <w:rPr>
          <w:iCs/>
          <w:szCs w:val="24"/>
        </w:rPr>
        <w:t>the Agreement Term</w:t>
      </w:r>
      <w:r w:rsidR="001A6D2F">
        <w:rPr>
          <w:iCs/>
          <w:szCs w:val="24"/>
        </w:rPr>
        <w:t>,</w:t>
      </w:r>
      <w:r w:rsidRPr="00834761">
        <w:rPr>
          <w:iCs/>
          <w:szCs w:val="24"/>
        </w:rPr>
        <w:t xml:space="preserve"> </w:t>
      </w:r>
      <w:r w:rsidR="00572336" w:rsidRPr="00834761">
        <w:rPr>
          <w:iCs/>
          <w:szCs w:val="24"/>
        </w:rPr>
        <w:t>(</w:t>
      </w:r>
      <w:r w:rsidR="00834761" w:rsidRPr="00834761">
        <w:rPr>
          <w:iCs/>
          <w:szCs w:val="24"/>
        </w:rPr>
        <w:t>Ex</w:t>
      </w:r>
      <w:r w:rsidR="00572336" w:rsidRPr="00834761">
        <w:rPr>
          <w:iCs/>
          <w:szCs w:val="24"/>
        </w:rPr>
        <w:t xml:space="preserve">. 1, § </w:t>
      </w:r>
      <w:r w:rsidR="00834761" w:rsidRPr="00834761">
        <w:rPr>
          <w:iCs/>
          <w:szCs w:val="24"/>
        </w:rPr>
        <w:t>4</w:t>
      </w:r>
      <w:r w:rsidR="000E437E" w:rsidRPr="00834761">
        <w:rPr>
          <w:iCs/>
          <w:szCs w:val="24"/>
        </w:rPr>
        <w:t>.1</w:t>
      </w:r>
      <w:r w:rsidR="00572336" w:rsidRPr="00834761">
        <w:rPr>
          <w:iCs/>
          <w:szCs w:val="24"/>
        </w:rPr>
        <w:t>)</w:t>
      </w:r>
      <w:r w:rsidR="001A6D2F">
        <w:rPr>
          <w:iCs/>
          <w:szCs w:val="24"/>
        </w:rPr>
        <w:t>, and</w:t>
      </w:r>
      <w:r w:rsidR="00796090" w:rsidRPr="00834761">
        <w:rPr>
          <w:szCs w:val="24"/>
        </w:rPr>
        <w:t xml:space="preserve"> meet </w:t>
      </w:r>
      <w:r w:rsidR="00221507" w:rsidRPr="00834761">
        <w:rPr>
          <w:szCs w:val="24"/>
        </w:rPr>
        <w:t xml:space="preserve">various </w:t>
      </w:r>
      <w:r w:rsidR="001A6D2F">
        <w:rPr>
          <w:szCs w:val="24"/>
        </w:rPr>
        <w:t>intermediary</w:t>
      </w:r>
      <w:r w:rsidR="00943B61" w:rsidRPr="00834761">
        <w:rPr>
          <w:szCs w:val="24"/>
        </w:rPr>
        <w:t xml:space="preserve"> </w:t>
      </w:r>
      <w:r w:rsidR="00221507" w:rsidRPr="00834761">
        <w:rPr>
          <w:szCs w:val="24"/>
        </w:rPr>
        <w:t xml:space="preserve">benchmarks </w:t>
      </w:r>
      <w:r w:rsidR="001A6D2F">
        <w:rPr>
          <w:szCs w:val="24"/>
        </w:rPr>
        <w:t>before that deadline, thereby ensuring</w:t>
      </w:r>
      <w:r w:rsidR="008974C6" w:rsidRPr="00834761">
        <w:rPr>
          <w:szCs w:val="24"/>
        </w:rPr>
        <w:t xml:space="preserve"> Defendant does not delay its</w:t>
      </w:r>
      <w:r w:rsidR="00221507" w:rsidRPr="00834761">
        <w:rPr>
          <w:szCs w:val="24"/>
        </w:rPr>
        <w:t xml:space="preserve"> remediation efforts</w:t>
      </w:r>
      <w:r w:rsidR="00834761" w:rsidRPr="00834761">
        <w:rPr>
          <w:szCs w:val="24"/>
        </w:rPr>
        <w:t>. They include:</w:t>
      </w:r>
    </w:p>
    <w:tbl>
      <w:tblPr>
        <w:tblStyle w:val="TableGrid"/>
        <w:tblW w:w="0" w:type="auto"/>
        <w:tblLayout w:type="fixed"/>
        <w:tblLook w:val="04A0" w:firstRow="1" w:lastRow="0" w:firstColumn="1" w:lastColumn="0" w:noHBand="0" w:noVBand="1"/>
      </w:tblPr>
      <w:tblGrid>
        <w:gridCol w:w="1615"/>
        <w:gridCol w:w="5310"/>
        <w:gridCol w:w="2425"/>
      </w:tblGrid>
      <w:tr w:rsidR="00823FDA" w:rsidRPr="00662BD5" w14:paraId="65D795B2" w14:textId="77777777" w:rsidTr="0085551D">
        <w:trPr>
          <w:trHeight w:val="690"/>
        </w:trPr>
        <w:tc>
          <w:tcPr>
            <w:tcW w:w="1615" w:type="dxa"/>
            <w:shd w:val="clear" w:color="auto" w:fill="D9E2F3" w:themeFill="accent1" w:themeFillTint="33"/>
            <w:vAlign w:val="center"/>
          </w:tcPr>
          <w:p w14:paraId="7B2ED866" w14:textId="00B15D59" w:rsidR="0006265B" w:rsidRPr="00077B77" w:rsidRDefault="0006265B" w:rsidP="006C7448">
            <w:pPr>
              <w:spacing w:beforeLines="20" w:before="48" w:afterLines="20" w:after="48"/>
              <w:jc w:val="center"/>
              <w:rPr>
                <w:szCs w:val="24"/>
              </w:rPr>
            </w:pPr>
            <w:r w:rsidRPr="00077B77">
              <w:rPr>
                <w:szCs w:val="24"/>
              </w:rPr>
              <w:t xml:space="preserve">Time from </w:t>
            </w:r>
            <w:r w:rsidR="00F9334B" w:rsidRPr="00077B77">
              <w:rPr>
                <w:szCs w:val="24"/>
              </w:rPr>
              <w:t>Effective Date</w:t>
            </w:r>
          </w:p>
        </w:tc>
        <w:tc>
          <w:tcPr>
            <w:tcW w:w="5310" w:type="dxa"/>
            <w:shd w:val="clear" w:color="auto" w:fill="D9E2F3" w:themeFill="accent1" w:themeFillTint="33"/>
            <w:vAlign w:val="center"/>
          </w:tcPr>
          <w:p w14:paraId="1C1C969B" w14:textId="4C78523E" w:rsidR="0006265B" w:rsidRPr="00077B77" w:rsidRDefault="0006265B" w:rsidP="006C7448">
            <w:pPr>
              <w:spacing w:beforeLines="20" w:before="48" w:afterLines="20" w:after="48"/>
              <w:jc w:val="center"/>
              <w:rPr>
                <w:szCs w:val="24"/>
              </w:rPr>
            </w:pPr>
            <w:r w:rsidRPr="00077B77">
              <w:rPr>
                <w:szCs w:val="24"/>
              </w:rPr>
              <w:t>Benchmark</w:t>
            </w:r>
          </w:p>
        </w:tc>
        <w:tc>
          <w:tcPr>
            <w:tcW w:w="2425" w:type="dxa"/>
            <w:shd w:val="clear" w:color="auto" w:fill="D9E2F3" w:themeFill="accent1" w:themeFillTint="33"/>
            <w:vAlign w:val="center"/>
          </w:tcPr>
          <w:p w14:paraId="2109A5B5" w14:textId="42F2886D" w:rsidR="00BB5A4F" w:rsidRPr="00077B77" w:rsidRDefault="00077B77" w:rsidP="006C7448">
            <w:pPr>
              <w:spacing w:beforeLines="20" w:before="48" w:afterLines="20" w:after="48"/>
              <w:jc w:val="center"/>
              <w:rPr>
                <w:szCs w:val="24"/>
              </w:rPr>
            </w:pPr>
            <w:r w:rsidRPr="00077B77">
              <w:rPr>
                <w:szCs w:val="24"/>
              </w:rPr>
              <w:t>Section(s) of</w:t>
            </w:r>
          </w:p>
          <w:p w14:paraId="0FCA7AD9" w14:textId="0BE4BDFC" w:rsidR="0006265B" w:rsidRPr="00077B77" w:rsidRDefault="0006265B" w:rsidP="006C7448">
            <w:pPr>
              <w:spacing w:beforeLines="20" w:before="48" w:afterLines="20" w:after="48"/>
              <w:jc w:val="center"/>
              <w:rPr>
                <w:szCs w:val="24"/>
              </w:rPr>
            </w:pPr>
            <w:r w:rsidRPr="00077B77">
              <w:rPr>
                <w:szCs w:val="24"/>
              </w:rPr>
              <w:t>Settlement Agreement</w:t>
            </w:r>
          </w:p>
        </w:tc>
      </w:tr>
      <w:tr w:rsidR="009608B7" w:rsidRPr="00662BD5" w14:paraId="440B456F" w14:textId="77777777" w:rsidTr="0085551D">
        <w:trPr>
          <w:trHeight w:val="375"/>
        </w:trPr>
        <w:tc>
          <w:tcPr>
            <w:tcW w:w="1615" w:type="dxa"/>
            <w:vAlign w:val="center"/>
          </w:tcPr>
          <w:p w14:paraId="01D33411" w14:textId="341564CA" w:rsidR="00F9334B" w:rsidRPr="003F3FEA" w:rsidRDefault="00F9334B" w:rsidP="006C7448">
            <w:pPr>
              <w:spacing w:beforeLines="20" w:before="48" w:afterLines="20" w:after="48"/>
              <w:jc w:val="center"/>
              <w:rPr>
                <w:szCs w:val="24"/>
              </w:rPr>
            </w:pPr>
            <w:r w:rsidRPr="003F3FEA">
              <w:rPr>
                <w:szCs w:val="24"/>
              </w:rPr>
              <w:t>3 Months</w:t>
            </w:r>
          </w:p>
        </w:tc>
        <w:tc>
          <w:tcPr>
            <w:tcW w:w="5310" w:type="dxa"/>
          </w:tcPr>
          <w:p w14:paraId="1E81235B" w14:textId="5AC5323E" w:rsidR="00F9334B" w:rsidRPr="003F3FEA" w:rsidRDefault="00F9334B" w:rsidP="006C7448">
            <w:pPr>
              <w:spacing w:beforeLines="20" w:before="48" w:afterLines="20" w:after="48"/>
              <w:jc w:val="center"/>
              <w:rPr>
                <w:szCs w:val="24"/>
              </w:rPr>
            </w:pPr>
            <w:r w:rsidRPr="003F3FEA">
              <w:rPr>
                <w:szCs w:val="24"/>
              </w:rPr>
              <w:t xml:space="preserve">Designate </w:t>
            </w:r>
            <w:r w:rsidR="00703189">
              <w:rPr>
                <w:szCs w:val="24"/>
              </w:rPr>
              <w:t>an</w:t>
            </w:r>
            <w:r w:rsidRPr="003F3FEA">
              <w:rPr>
                <w:szCs w:val="24"/>
              </w:rPr>
              <w:t xml:space="preserve"> Accessibility Coordination Team</w:t>
            </w:r>
          </w:p>
        </w:tc>
        <w:tc>
          <w:tcPr>
            <w:tcW w:w="2425" w:type="dxa"/>
            <w:vAlign w:val="center"/>
          </w:tcPr>
          <w:p w14:paraId="5B360FDC" w14:textId="5C22454F" w:rsidR="00F9334B" w:rsidRPr="003F3FEA" w:rsidRDefault="003F3FEA" w:rsidP="006C7448">
            <w:pPr>
              <w:spacing w:beforeLines="20" w:before="48" w:afterLines="20" w:after="48"/>
              <w:jc w:val="center"/>
              <w:rPr>
                <w:szCs w:val="24"/>
              </w:rPr>
            </w:pPr>
            <w:r w:rsidRPr="003F3FEA">
              <w:rPr>
                <w:szCs w:val="24"/>
              </w:rPr>
              <w:t>6</w:t>
            </w:r>
            <w:r w:rsidR="00F9334B" w:rsidRPr="003F3FEA">
              <w:rPr>
                <w:szCs w:val="24"/>
              </w:rPr>
              <w:t>.1</w:t>
            </w:r>
          </w:p>
        </w:tc>
      </w:tr>
      <w:tr w:rsidR="009608B7" w:rsidRPr="00662BD5" w14:paraId="3D77584C" w14:textId="77777777" w:rsidTr="0085551D">
        <w:trPr>
          <w:trHeight w:val="360"/>
        </w:trPr>
        <w:tc>
          <w:tcPr>
            <w:tcW w:w="1615" w:type="dxa"/>
            <w:vAlign w:val="center"/>
          </w:tcPr>
          <w:p w14:paraId="79A2645A" w14:textId="4FF0E273" w:rsidR="00F9334B" w:rsidRPr="003F3FEA" w:rsidRDefault="00F9334B" w:rsidP="006C7448">
            <w:pPr>
              <w:spacing w:beforeLines="20" w:before="48" w:afterLines="20" w:after="48"/>
              <w:jc w:val="center"/>
              <w:rPr>
                <w:szCs w:val="24"/>
              </w:rPr>
            </w:pPr>
            <w:r w:rsidRPr="003F3FEA">
              <w:rPr>
                <w:szCs w:val="24"/>
              </w:rPr>
              <w:t>6 Months</w:t>
            </w:r>
          </w:p>
        </w:tc>
        <w:tc>
          <w:tcPr>
            <w:tcW w:w="5310" w:type="dxa"/>
          </w:tcPr>
          <w:p w14:paraId="65F0B8D8" w14:textId="219C99FD" w:rsidR="00F9334B" w:rsidRPr="003F3FEA" w:rsidRDefault="00435BD7" w:rsidP="006C7448">
            <w:pPr>
              <w:spacing w:beforeLines="20" w:before="48" w:afterLines="20" w:after="48"/>
              <w:jc w:val="center"/>
              <w:rPr>
                <w:szCs w:val="24"/>
              </w:rPr>
            </w:pPr>
            <w:r w:rsidRPr="003F3FEA">
              <w:rPr>
                <w:szCs w:val="24"/>
              </w:rPr>
              <w:t>Appoint or r</w:t>
            </w:r>
            <w:r w:rsidR="00F9334B" w:rsidRPr="003F3FEA">
              <w:rPr>
                <w:szCs w:val="24"/>
              </w:rPr>
              <w:t xml:space="preserve">etain </w:t>
            </w:r>
            <w:r w:rsidR="00703189">
              <w:rPr>
                <w:szCs w:val="24"/>
              </w:rPr>
              <w:t>an</w:t>
            </w:r>
            <w:r w:rsidR="00F9334B" w:rsidRPr="003F3FEA">
              <w:rPr>
                <w:szCs w:val="24"/>
              </w:rPr>
              <w:t xml:space="preserve"> Accessibility Consultant</w:t>
            </w:r>
          </w:p>
        </w:tc>
        <w:tc>
          <w:tcPr>
            <w:tcW w:w="2425" w:type="dxa"/>
            <w:vAlign w:val="center"/>
          </w:tcPr>
          <w:p w14:paraId="5EF022E3" w14:textId="3D019BE5" w:rsidR="00F9334B" w:rsidRPr="003F3FEA" w:rsidRDefault="003F3FEA" w:rsidP="006C7448">
            <w:pPr>
              <w:spacing w:beforeLines="20" w:before="48" w:afterLines="20" w:after="48"/>
              <w:jc w:val="center"/>
              <w:rPr>
                <w:szCs w:val="24"/>
              </w:rPr>
            </w:pPr>
            <w:r w:rsidRPr="003F3FEA">
              <w:rPr>
                <w:szCs w:val="24"/>
              </w:rPr>
              <w:t>7</w:t>
            </w:r>
            <w:r w:rsidR="00F9334B" w:rsidRPr="003F3FEA">
              <w:rPr>
                <w:szCs w:val="24"/>
              </w:rPr>
              <w:t>.1</w:t>
            </w:r>
          </w:p>
        </w:tc>
      </w:tr>
      <w:tr w:rsidR="00703189" w:rsidRPr="00662BD5" w14:paraId="728A8DEF" w14:textId="77777777" w:rsidTr="0085551D">
        <w:trPr>
          <w:trHeight w:val="360"/>
        </w:trPr>
        <w:tc>
          <w:tcPr>
            <w:tcW w:w="1615" w:type="dxa"/>
            <w:vAlign w:val="center"/>
          </w:tcPr>
          <w:p w14:paraId="28E1C95C" w14:textId="031703C0" w:rsidR="00703189" w:rsidRPr="003F3FEA" w:rsidRDefault="00703189" w:rsidP="006C7448">
            <w:pPr>
              <w:spacing w:beforeLines="20" w:before="48" w:afterLines="20" w:after="48"/>
              <w:jc w:val="center"/>
              <w:rPr>
                <w:szCs w:val="24"/>
              </w:rPr>
            </w:pPr>
            <w:r>
              <w:rPr>
                <w:szCs w:val="24"/>
              </w:rPr>
              <w:t>9 Months</w:t>
            </w:r>
          </w:p>
        </w:tc>
        <w:tc>
          <w:tcPr>
            <w:tcW w:w="5310" w:type="dxa"/>
          </w:tcPr>
          <w:p w14:paraId="78F69154" w14:textId="3CFDCA8A" w:rsidR="00703189" w:rsidRPr="003F3FEA" w:rsidRDefault="00703189" w:rsidP="006C7448">
            <w:pPr>
              <w:spacing w:beforeLines="20" w:before="48" w:afterLines="20" w:after="48"/>
              <w:jc w:val="center"/>
              <w:rPr>
                <w:szCs w:val="24"/>
              </w:rPr>
            </w:pPr>
            <w:r>
              <w:rPr>
                <w:szCs w:val="24"/>
              </w:rPr>
              <w:t>Complete an Accessibility Audit of the Websites</w:t>
            </w:r>
          </w:p>
        </w:tc>
        <w:tc>
          <w:tcPr>
            <w:tcW w:w="2425" w:type="dxa"/>
            <w:vAlign w:val="center"/>
          </w:tcPr>
          <w:p w14:paraId="26324B96" w14:textId="43947250" w:rsidR="00703189" w:rsidRPr="003F3FEA" w:rsidRDefault="00703189" w:rsidP="006C7448">
            <w:pPr>
              <w:spacing w:beforeLines="20" w:before="48" w:afterLines="20" w:after="48"/>
              <w:jc w:val="center"/>
              <w:rPr>
                <w:szCs w:val="24"/>
              </w:rPr>
            </w:pPr>
            <w:r>
              <w:rPr>
                <w:szCs w:val="24"/>
              </w:rPr>
              <w:t>8.1</w:t>
            </w:r>
            <w:r w:rsidR="001F1691">
              <w:rPr>
                <w:szCs w:val="24"/>
              </w:rPr>
              <w:t>, 8.2</w:t>
            </w:r>
          </w:p>
        </w:tc>
      </w:tr>
      <w:tr w:rsidR="009608B7" w:rsidRPr="00662BD5" w14:paraId="01375E5A" w14:textId="77777777" w:rsidTr="0085551D">
        <w:trPr>
          <w:trHeight w:val="360"/>
        </w:trPr>
        <w:tc>
          <w:tcPr>
            <w:tcW w:w="1615" w:type="dxa"/>
            <w:vAlign w:val="center"/>
          </w:tcPr>
          <w:p w14:paraId="1FA81607" w14:textId="418E5ECD" w:rsidR="00F9334B" w:rsidRPr="001F1691" w:rsidRDefault="00F9334B" w:rsidP="006C7448">
            <w:pPr>
              <w:spacing w:beforeLines="20" w:before="48" w:afterLines="20" w:after="48"/>
              <w:jc w:val="center"/>
              <w:rPr>
                <w:szCs w:val="24"/>
              </w:rPr>
            </w:pPr>
            <w:r w:rsidRPr="001F1691">
              <w:rPr>
                <w:szCs w:val="24"/>
              </w:rPr>
              <w:t>9 Months</w:t>
            </w:r>
          </w:p>
        </w:tc>
        <w:tc>
          <w:tcPr>
            <w:tcW w:w="5310" w:type="dxa"/>
          </w:tcPr>
          <w:p w14:paraId="0E61BDA6" w14:textId="00279E8F" w:rsidR="00F9334B" w:rsidRPr="001F1691" w:rsidRDefault="00F9334B" w:rsidP="006C7448">
            <w:pPr>
              <w:spacing w:beforeLines="20" w:before="48" w:afterLines="20" w:after="48"/>
              <w:jc w:val="center"/>
              <w:rPr>
                <w:szCs w:val="24"/>
              </w:rPr>
            </w:pPr>
            <w:r w:rsidRPr="001F1691">
              <w:rPr>
                <w:szCs w:val="24"/>
              </w:rPr>
              <w:t xml:space="preserve">Develop </w:t>
            </w:r>
            <w:r w:rsidR="001F1691" w:rsidRPr="001F1691">
              <w:rPr>
                <w:szCs w:val="24"/>
              </w:rPr>
              <w:t>an</w:t>
            </w:r>
            <w:r w:rsidRPr="001F1691">
              <w:rPr>
                <w:szCs w:val="24"/>
              </w:rPr>
              <w:t xml:space="preserve"> Accessibility Statement</w:t>
            </w:r>
          </w:p>
        </w:tc>
        <w:tc>
          <w:tcPr>
            <w:tcW w:w="2425" w:type="dxa"/>
            <w:vAlign w:val="center"/>
          </w:tcPr>
          <w:p w14:paraId="56B53822" w14:textId="499A21B8" w:rsidR="00F9334B" w:rsidRPr="001F1691" w:rsidRDefault="00F9334B" w:rsidP="006C7448">
            <w:pPr>
              <w:spacing w:beforeLines="20" w:before="48" w:afterLines="20" w:after="48"/>
              <w:jc w:val="center"/>
              <w:rPr>
                <w:szCs w:val="24"/>
              </w:rPr>
            </w:pPr>
            <w:r w:rsidRPr="001F1691">
              <w:rPr>
                <w:szCs w:val="24"/>
              </w:rPr>
              <w:t>1</w:t>
            </w:r>
            <w:r w:rsidR="001F1691" w:rsidRPr="001F1691">
              <w:rPr>
                <w:szCs w:val="24"/>
              </w:rPr>
              <w:t>0</w:t>
            </w:r>
            <w:r w:rsidRPr="001F1691">
              <w:rPr>
                <w:szCs w:val="24"/>
              </w:rPr>
              <w:t>.1</w:t>
            </w:r>
          </w:p>
        </w:tc>
      </w:tr>
      <w:tr w:rsidR="00C0063E" w:rsidRPr="00662BD5" w14:paraId="55467442" w14:textId="77777777" w:rsidTr="00BB7651">
        <w:trPr>
          <w:trHeight w:val="360"/>
        </w:trPr>
        <w:tc>
          <w:tcPr>
            <w:tcW w:w="1615" w:type="dxa"/>
            <w:vAlign w:val="center"/>
          </w:tcPr>
          <w:p w14:paraId="554FC729" w14:textId="06E91A5B" w:rsidR="00C0063E" w:rsidRPr="005C53E5" w:rsidRDefault="00C0063E" w:rsidP="006C7448">
            <w:pPr>
              <w:spacing w:beforeLines="20" w:before="48" w:afterLines="20" w:after="48"/>
              <w:jc w:val="center"/>
              <w:rPr>
                <w:szCs w:val="24"/>
              </w:rPr>
            </w:pPr>
            <w:r w:rsidRPr="005C53E5">
              <w:rPr>
                <w:szCs w:val="24"/>
              </w:rPr>
              <w:lastRenderedPageBreak/>
              <w:t>12 Months</w:t>
            </w:r>
          </w:p>
        </w:tc>
        <w:tc>
          <w:tcPr>
            <w:tcW w:w="5310" w:type="dxa"/>
          </w:tcPr>
          <w:p w14:paraId="70984682" w14:textId="5DDAE18E" w:rsidR="00C0063E" w:rsidRPr="005C53E5" w:rsidRDefault="00C0063E" w:rsidP="006C7448">
            <w:pPr>
              <w:spacing w:beforeLines="20" w:before="48" w:afterLines="20" w:after="48"/>
              <w:jc w:val="center"/>
              <w:rPr>
                <w:szCs w:val="24"/>
              </w:rPr>
            </w:pPr>
            <w:r w:rsidRPr="005C53E5">
              <w:rPr>
                <w:szCs w:val="24"/>
              </w:rPr>
              <w:t>Post the Accessibility Statement on the Website</w:t>
            </w:r>
            <w:r w:rsidR="005C53E5" w:rsidRPr="005C53E5">
              <w:rPr>
                <w:szCs w:val="24"/>
              </w:rPr>
              <w:t>s</w:t>
            </w:r>
          </w:p>
        </w:tc>
        <w:tc>
          <w:tcPr>
            <w:tcW w:w="2425" w:type="dxa"/>
            <w:vAlign w:val="center"/>
          </w:tcPr>
          <w:p w14:paraId="1CD5E888" w14:textId="33FE381E" w:rsidR="00C0063E" w:rsidRPr="005C53E5" w:rsidRDefault="00C0063E" w:rsidP="006C7448">
            <w:pPr>
              <w:spacing w:beforeLines="20" w:before="48" w:afterLines="20" w:after="48"/>
              <w:jc w:val="center"/>
              <w:rPr>
                <w:szCs w:val="24"/>
              </w:rPr>
            </w:pPr>
            <w:r w:rsidRPr="005C53E5">
              <w:rPr>
                <w:szCs w:val="24"/>
              </w:rPr>
              <w:t>1</w:t>
            </w:r>
            <w:r w:rsidR="005C53E5" w:rsidRPr="005C53E5">
              <w:rPr>
                <w:szCs w:val="24"/>
              </w:rPr>
              <w:t>0</w:t>
            </w:r>
            <w:r w:rsidRPr="005C53E5">
              <w:rPr>
                <w:szCs w:val="24"/>
              </w:rPr>
              <w:t>.4</w:t>
            </w:r>
          </w:p>
        </w:tc>
      </w:tr>
      <w:tr w:rsidR="008773D5" w:rsidRPr="00662BD5" w14:paraId="081F7D00" w14:textId="77777777" w:rsidTr="00BB7651">
        <w:trPr>
          <w:trHeight w:val="360"/>
        </w:trPr>
        <w:tc>
          <w:tcPr>
            <w:tcW w:w="1615" w:type="dxa"/>
            <w:vAlign w:val="center"/>
          </w:tcPr>
          <w:p w14:paraId="6965FB1E" w14:textId="4DC079B1" w:rsidR="008773D5" w:rsidRPr="00CB3963" w:rsidRDefault="008773D5" w:rsidP="006C7448">
            <w:pPr>
              <w:spacing w:beforeLines="20" w:before="48" w:afterLines="20" w:after="48"/>
              <w:jc w:val="center"/>
              <w:rPr>
                <w:szCs w:val="24"/>
              </w:rPr>
            </w:pPr>
            <w:r w:rsidRPr="00CB3963">
              <w:rPr>
                <w:szCs w:val="24"/>
              </w:rPr>
              <w:t>18 Months</w:t>
            </w:r>
          </w:p>
        </w:tc>
        <w:tc>
          <w:tcPr>
            <w:tcW w:w="5310" w:type="dxa"/>
          </w:tcPr>
          <w:p w14:paraId="085F9860" w14:textId="28B6B300" w:rsidR="008773D5" w:rsidRPr="00CB3963" w:rsidRDefault="00CB3963" w:rsidP="006C7448">
            <w:pPr>
              <w:spacing w:beforeLines="20" w:before="48" w:afterLines="20" w:after="48"/>
              <w:jc w:val="center"/>
              <w:rPr>
                <w:szCs w:val="24"/>
              </w:rPr>
            </w:pPr>
            <w:r w:rsidRPr="00CB3963">
              <w:rPr>
                <w:szCs w:val="24"/>
              </w:rPr>
              <w:t>Add a link at the beginning of the Websites directing screen reader users to the Accessibility Statement</w:t>
            </w:r>
          </w:p>
        </w:tc>
        <w:tc>
          <w:tcPr>
            <w:tcW w:w="2425" w:type="dxa"/>
            <w:vAlign w:val="center"/>
          </w:tcPr>
          <w:p w14:paraId="5665529F" w14:textId="4A065889" w:rsidR="008773D5" w:rsidRPr="00CB3963" w:rsidRDefault="008773D5" w:rsidP="006C7448">
            <w:pPr>
              <w:spacing w:beforeLines="20" w:before="48" w:afterLines="20" w:after="48"/>
              <w:jc w:val="center"/>
              <w:rPr>
                <w:szCs w:val="24"/>
              </w:rPr>
            </w:pPr>
            <w:r w:rsidRPr="00CB3963">
              <w:rPr>
                <w:szCs w:val="24"/>
              </w:rPr>
              <w:t>10.</w:t>
            </w:r>
            <w:r w:rsidR="00CB3963" w:rsidRPr="00CB3963">
              <w:rPr>
                <w:szCs w:val="24"/>
              </w:rPr>
              <w:t>5</w:t>
            </w:r>
          </w:p>
        </w:tc>
      </w:tr>
      <w:tr w:rsidR="008773D5" w:rsidRPr="00662BD5" w14:paraId="5F2E63FC" w14:textId="77777777" w:rsidTr="00BB7651">
        <w:trPr>
          <w:trHeight w:val="360"/>
        </w:trPr>
        <w:tc>
          <w:tcPr>
            <w:tcW w:w="1615" w:type="dxa"/>
            <w:vAlign w:val="center"/>
          </w:tcPr>
          <w:p w14:paraId="1CD5747F" w14:textId="0D7B7FF0" w:rsidR="008773D5" w:rsidRPr="00FB2C96" w:rsidRDefault="008773D5" w:rsidP="006C7448">
            <w:pPr>
              <w:spacing w:beforeLines="20" w:before="48" w:afterLines="20" w:after="48"/>
              <w:jc w:val="center"/>
              <w:rPr>
                <w:szCs w:val="24"/>
              </w:rPr>
            </w:pPr>
            <w:r w:rsidRPr="00FB2C96">
              <w:rPr>
                <w:szCs w:val="24"/>
              </w:rPr>
              <w:t>18 Months</w:t>
            </w:r>
          </w:p>
        </w:tc>
        <w:tc>
          <w:tcPr>
            <w:tcW w:w="5310" w:type="dxa"/>
          </w:tcPr>
          <w:p w14:paraId="43E2F9C3" w14:textId="0A328B84" w:rsidR="008773D5" w:rsidRPr="00FB2C96" w:rsidRDefault="00FB2C96" w:rsidP="006C7448">
            <w:pPr>
              <w:spacing w:beforeLines="20" w:before="48" w:afterLines="20" w:after="48"/>
              <w:jc w:val="center"/>
              <w:rPr>
                <w:szCs w:val="24"/>
              </w:rPr>
            </w:pPr>
            <w:r w:rsidRPr="00FB2C96">
              <w:rPr>
                <w:szCs w:val="24"/>
              </w:rPr>
              <w:t>Develop and implement an</w:t>
            </w:r>
            <w:r w:rsidR="008773D5" w:rsidRPr="00FB2C96">
              <w:rPr>
                <w:szCs w:val="24"/>
              </w:rPr>
              <w:t xml:space="preserve"> </w:t>
            </w:r>
            <w:r w:rsidR="008773D5" w:rsidRPr="00FB2C96">
              <w:rPr>
                <w:snapToGrid w:val="0"/>
                <w:szCs w:val="24"/>
              </w:rPr>
              <w:t xml:space="preserve">Accessibility </w:t>
            </w:r>
            <w:r w:rsidR="008773D5" w:rsidRPr="00FB2C96">
              <w:rPr>
                <w:szCs w:val="24"/>
              </w:rPr>
              <w:t>Strategy</w:t>
            </w:r>
          </w:p>
        </w:tc>
        <w:tc>
          <w:tcPr>
            <w:tcW w:w="2425" w:type="dxa"/>
            <w:vAlign w:val="center"/>
          </w:tcPr>
          <w:p w14:paraId="75948E92" w14:textId="48CC4E5B" w:rsidR="008773D5" w:rsidRPr="00FB2C96" w:rsidRDefault="00FB2C96" w:rsidP="006C7448">
            <w:pPr>
              <w:spacing w:beforeLines="20" w:before="48" w:afterLines="20" w:after="48"/>
              <w:jc w:val="center"/>
              <w:rPr>
                <w:szCs w:val="24"/>
              </w:rPr>
            </w:pPr>
            <w:r w:rsidRPr="00FB2C96">
              <w:rPr>
                <w:szCs w:val="24"/>
              </w:rPr>
              <w:t>9.1</w:t>
            </w:r>
          </w:p>
        </w:tc>
      </w:tr>
      <w:tr w:rsidR="00253701" w:rsidRPr="00662BD5" w14:paraId="383EBC9C" w14:textId="77777777" w:rsidTr="00BB7651">
        <w:trPr>
          <w:trHeight w:val="360"/>
        </w:trPr>
        <w:tc>
          <w:tcPr>
            <w:tcW w:w="1615" w:type="dxa"/>
            <w:vAlign w:val="center"/>
          </w:tcPr>
          <w:p w14:paraId="04F2010E" w14:textId="0DED333C" w:rsidR="00253701" w:rsidRPr="003E4D1E" w:rsidRDefault="00253701" w:rsidP="006C7448">
            <w:pPr>
              <w:spacing w:beforeLines="20" w:before="48" w:afterLines="20" w:after="48"/>
              <w:jc w:val="center"/>
              <w:rPr>
                <w:szCs w:val="24"/>
              </w:rPr>
            </w:pPr>
            <w:r w:rsidRPr="003E4D1E">
              <w:rPr>
                <w:szCs w:val="24"/>
              </w:rPr>
              <w:t>18 Months</w:t>
            </w:r>
          </w:p>
        </w:tc>
        <w:tc>
          <w:tcPr>
            <w:tcW w:w="5310" w:type="dxa"/>
          </w:tcPr>
          <w:p w14:paraId="531F29C9" w14:textId="7730F7AB" w:rsidR="00253701" w:rsidRPr="003E4D1E" w:rsidRDefault="00FB2C96" w:rsidP="006C7448">
            <w:pPr>
              <w:spacing w:beforeLines="20" w:before="48" w:afterLines="20" w:after="48"/>
              <w:jc w:val="center"/>
              <w:rPr>
                <w:szCs w:val="24"/>
              </w:rPr>
            </w:pPr>
            <w:r w:rsidRPr="003E4D1E">
              <w:rPr>
                <w:szCs w:val="24"/>
              </w:rPr>
              <w:t xml:space="preserve">Disseminate the </w:t>
            </w:r>
            <w:r w:rsidRPr="003E4D1E">
              <w:rPr>
                <w:snapToGrid w:val="0"/>
                <w:szCs w:val="24"/>
              </w:rPr>
              <w:t xml:space="preserve">Accessibility </w:t>
            </w:r>
            <w:r w:rsidRPr="003E4D1E">
              <w:rPr>
                <w:szCs w:val="24"/>
              </w:rPr>
              <w:t>Strategy</w:t>
            </w:r>
          </w:p>
        </w:tc>
        <w:tc>
          <w:tcPr>
            <w:tcW w:w="2425" w:type="dxa"/>
            <w:vAlign w:val="center"/>
          </w:tcPr>
          <w:p w14:paraId="6D92EA98" w14:textId="47A69AAF" w:rsidR="00253701" w:rsidRPr="003E4D1E" w:rsidRDefault="003E4D1E" w:rsidP="006C7448">
            <w:pPr>
              <w:spacing w:beforeLines="20" w:before="48" w:afterLines="20" w:after="48"/>
              <w:jc w:val="center"/>
              <w:rPr>
                <w:szCs w:val="24"/>
              </w:rPr>
            </w:pPr>
            <w:r w:rsidRPr="003E4D1E">
              <w:rPr>
                <w:szCs w:val="24"/>
              </w:rPr>
              <w:t>9.4</w:t>
            </w:r>
          </w:p>
        </w:tc>
      </w:tr>
      <w:tr w:rsidR="009608B7" w:rsidRPr="00662BD5" w14:paraId="3BF959F4" w14:textId="77777777" w:rsidTr="0085551D">
        <w:trPr>
          <w:trHeight w:val="930"/>
        </w:trPr>
        <w:tc>
          <w:tcPr>
            <w:tcW w:w="1615" w:type="dxa"/>
            <w:vAlign w:val="center"/>
          </w:tcPr>
          <w:p w14:paraId="7C7CC179" w14:textId="3F95C816" w:rsidR="00C744A1" w:rsidRPr="00C03775" w:rsidRDefault="00C744A1" w:rsidP="006C7448">
            <w:pPr>
              <w:spacing w:beforeLines="20" w:before="48" w:afterLines="20" w:after="48"/>
              <w:jc w:val="center"/>
              <w:rPr>
                <w:szCs w:val="24"/>
              </w:rPr>
            </w:pPr>
            <w:r w:rsidRPr="00C03775">
              <w:rPr>
                <w:szCs w:val="24"/>
              </w:rPr>
              <w:t>18 Months</w:t>
            </w:r>
          </w:p>
        </w:tc>
        <w:tc>
          <w:tcPr>
            <w:tcW w:w="5310" w:type="dxa"/>
          </w:tcPr>
          <w:p w14:paraId="59173A70" w14:textId="09B45AF6" w:rsidR="00C744A1" w:rsidRPr="00C03775" w:rsidRDefault="00C744A1" w:rsidP="006C7448">
            <w:pPr>
              <w:spacing w:beforeLines="20" w:before="48" w:afterLines="20" w:after="48"/>
              <w:jc w:val="center"/>
              <w:rPr>
                <w:szCs w:val="24"/>
              </w:rPr>
            </w:pPr>
            <w:r w:rsidRPr="00C03775">
              <w:rPr>
                <w:szCs w:val="24"/>
              </w:rPr>
              <w:t xml:space="preserve">Provide accessibility training to all employees responsible for website </w:t>
            </w:r>
            <w:r w:rsidR="00C03775" w:rsidRPr="00C03775">
              <w:rPr>
                <w:szCs w:val="24"/>
              </w:rPr>
              <w:t>and</w:t>
            </w:r>
            <w:r w:rsidR="00FE1635" w:rsidRPr="00C03775">
              <w:rPr>
                <w:szCs w:val="24"/>
              </w:rPr>
              <w:t xml:space="preserve"> </w:t>
            </w:r>
            <w:r w:rsidRPr="00C03775">
              <w:rPr>
                <w:szCs w:val="24"/>
              </w:rPr>
              <w:t xml:space="preserve">mobile application design, development, </w:t>
            </w:r>
            <w:r w:rsidR="00C03775" w:rsidRPr="00C03775">
              <w:rPr>
                <w:szCs w:val="24"/>
              </w:rPr>
              <w:t>and</w:t>
            </w:r>
            <w:r w:rsidR="000E556A" w:rsidRPr="00C03775">
              <w:rPr>
                <w:szCs w:val="24"/>
              </w:rPr>
              <w:t xml:space="preserve"> </w:t>
            </w:r>
            <w:r w:rsidRPr="00C03775">
              <w:rPr>
                <w:szCs w:val="24"/>
              </w:rPr>
              <w:t>maintenance</w:t>
            </w:r>
          </w:p>
        </w:tc>
        <w:tc>
          <w:tcPr>
            <w:tcW w:w="2425" w:type="dxa"/>
            <w:vAlign w:val="center"/>
          </w:tcPr>
          <w:p w14:paraId="6B29C1B6" w14:textId="176ED000" w:rsidR="00C744A1" w:rsidRPr="00C03775" w:rsidRDefault="00C744A1" w:rsidP="006C7448">
            <w:pPr>
              <w:spacing w:beforeLines="20" w:before="48" w:afterLines="20" w:after="48"/>
              <w:jc w:val="center"/>
              <w:rPr>
                <w:szCs w:val="24"/>
              </w:rPr>
            </w:pPr>
            <w:r w:rsidRPr="00C03775">
              <w:rPr>
                <w:szCs w:val="24"/>
              </w:rPr>
              <w:t>1</w:t>
            </w:r>
            <w:r w:rsidR="00BF7BBC" w:rsidRPr="00C03775">
              <w:rPr>
                <w:szCs w:val="24"/>
              </w:rPr>
              <w:t>1</w:t>
            </w:r>
            <w:r w:rsidRPr="00C03775">
              <w:rPr>
                <w:szCs w:val="24"/>
              </w:rPr>
              <w:t>.1</w:t>
            </w:r>
          </w:p>
        </w:tc>
      </w:tr>
      <w:tr w:rsidR="009608B7" w:rsidRPr="00662BD5" w14:paraId="6785DF0F" w14:textId="77777777" w:rsidTr="00D13978">
        <w:trPr>
          <w:trHeight w:val="915"/>
        </w:trPr>
        <w:tc>
          <w:tcPr>
            <w:tcW w:w="1615" w:type="dxa"/>
            <w:shd w:val="clear" w:color="auto" w:fill="auto"/>
            <w:vAlign w:val="center"/>
          </w:tcPr>
          <w:p w14:paraId="79D9FF86" w14:textId="44502A3A" w:rsidR="00C744A1" w:rsidRPr="00662BD5" w:rsidRDefault="00C744A1" w:rsidP="006C7448">
            <w:pPr>
              <w:spacing w:beforeLines="20" w:before="48" w:afterLines="20" w:after="48"/>
              <w:jc w:val="center"/>
              <w:rPr>
                <w:szCs w:val="24"/>
                <w:highlight w:val="yellow"/>
              </w:rPr>
            </w:pPr>
            <w:r w:rsidRPr="00D13978">
              <w:rPr>
                <w:szCs w:val="24"/>
              </w:rPr>
              <w:t>18 Months</w:t>
            </w:r>
          </w:p>
        </w:tc>
        <w:tc>
          <w:tcPr>
            <w:tcW w:w="5310" w:type="dxa"/>
          </w:tcPr>
          <w:p w14:paraId="3B2CB27D" w14:textId="6CBD50EF" w:rsidR="00C744A1" w:rsidRPr="00662BD5" w:rsidRDefault="00C744A1" w:rsidP="006C7448">
            <w:pPr>
              <w:spacing w:beforeLines="20" w:before="48" w:afterLines="20" w:after="48"/>
              <w:jc w:val="center"/>
              <w:rPr>
                <w:szCs w:val="24"/>
                <w:highlight w:val="yellow"/>
              </w:rPr>
            </w:pPr>
            <w:r w:rsidRPr="006036DF">
              <w:rPr>
                <w:szCs w:val="24"/>
              </w:rPr>
              <w:t>M</w:t>
            </w:r>
            <w:r w:rsidR="002F5AF0" w:rsidRPr="006036DF">
              <w:rPr>
                <w:szCs w:val="24"/>
              </w:rPr>
              <w:t>ake reasonable efforts to m</w:t>
            </w:r>
            <w:r w:rsidRPr="006036DF">
              <w:rPr>
                <w:szCs w:val="24"/>
              </w:rPr>
              <w:t>odify existing bug fix policies, practices, and procedures to include the elimination of bugs that create accessibility barriers</w:t>
            </w:r>
          </w:p>
        </w:tc>
        <w:tc>
          <w:tcPr>
            <w:tcW w:w="2425" w:type="dxa"/>
            <w:vAlign w:val="center"/>
          </w:tcPr>
          <w:p w14:paraId="3CC83429" w14:textId="3676129D" w:rsidR="00C744A1" w:rsidRPr="00662BD5" w:rsidRDefault="00C744A1" w:rsidP="006C7448">
            <w:pPr>
              <w:spacing w:beforeLines="20" w:before="48" w:afterLines="20" w:after="48"/>
              <w:jc w:val="center"/>
              <w:rPr>
                <w:szCs w:val="24"/>
                <w:highlight w:val="yellow"/>
              </w:rPr>
            </w:pPr>
            <w:r w:rsidRPr="006036DF">
              <w:rPr>
                <w:szCs w:val="24"/>
              </w:rPr>
              <w:t>1</w:t>
            </w:r>
            <w:r w:rsidR="00D13978" w:rsidRPr="006036DF">
              <w:rPr>
                <w:szCs w:val="24"/>
              </w:rPr>
              <w:t>2</w:t>
            </w:r>
            <w:r w:rsidRPr="006036DF">
              <w:rPr>
                <w:szCs w:val="24"/>
              </w:rPr>
              <w:t>.1</w:t>
            </w:r>
          </w:p>
        </w:tc>
      </w:tr>
      <w:tr w:rsidR="009608B7" w:rsidRPr="00662BD5" w14:paraId="24ACC27D" w14:textId="77777777" w:rsidTr="0085551D">
        <w:trPr>
          <w:trHeight w:val="915"/>
        </w:trPr>
        <w:tc>
          <w:tcPr>
            <w:tcW w:w="1615" w:type="dxa"/>
            <w:vAlign w:val="center"/>
          </w:tcPr>
          <w:p w14:paraId="4C7E2943" w14:textId="36D58855" w:rsidR="00C744A1" w:rsidRPr="00AE7F83" w:rsidRDefault="00C744A1" w:rsidP="006C7448">
            <w:pPr>
              <w:spacing w:beforeLines="20" w:before="48" w:afterLines="20" w:after="48"/>
              <w:jc w:val="center"/>
              <w:rPr>
                <w:szCs w:val="24"/>
              </w:rPr>
            </w:pPr>
            <w:r w:rsidRPr="00AE7F83">
              <w:rPr>
                <w:szCs w:val="24"/>
              </w:rPr>
              <w:t>18 Months</w:t>
            </w:r>
          </w:p>
        </w:tc>
        <w:tc>
          <w:tcPr>
            <w:tcW w:w="5310" w:type="dxa"/>
          </w:tcPr>
          <w:p w14:paraId="1F01C1FD" w14:textId="45C2E9CA" w:rsidR="00C744A1" w:rsidRPr="00AE7F83" w:rsidRDefault="00C744A1" w:rsidP="006C7448">
            <w:pPr>
              <w:spacing w:beforeLines="20" w:before="48" w:afterLines="20" w:after="48"/>
              <w:jc w:val="center"/>
              <w:rPr>
                <w:szCs w:val="24"/>
              </w:rPr>
            </w:pPr>
            <w:r w:rsidRPr="00AE7F83">
              <w:rPr>
                <w:szCs w:val="24"/>
              </w:rPr>
              <w:t>Train the Accessibility Coordination Team to review, handle, or escalate accessibility</w:t>
            </w:r>
            <w:r w:rsidR="00023BC1" w:rsidRPr="00AE7F83">
              <w:rPr>
                <w:szCs w:val="24"/>
              </w:rPr>
              <w:t>-</w:t>
            </w:r>
            <w:r w:rsidRPr="00AE7F83">
              <w:rPr>
                <w:szCs w:val="24"/>
              </w:rPr>
              <w:t>related questions</w:t>
            </w:r>
            <w:r w:rsidR="00AE7F83" w:rsidRPr="00AE7F83">
              <w:rPr>
                <w:szCs w:val="24"/>
              </w:rPr>
              <w:t xml:space="preserve"> and </w:t>
            </w:r>
            <w:r w:rsidRPr="00AE7F83">
              <w:rPr>
                <w:szCs w:val="24"/>
              </w:rPr>
              <w:t>comments</w:t>
            </w:r>
          </w:p>
        </w:tc>
        <w:tc>
          <w:tcPr>
            <w:tcW w:w="2425" w:type="dxa"/>
            <w:vAlign w:val="center"/>
          </w:tcPr>
          <w:p w14:paraId="217BC7CD" w14:textId="06AC0062" w:rsidR="00C744A1" w:rsidRPr="00AE7F83" w:rsidRDefault="00C744A1" w:rsidP="006C7448">
            <w:pPr>
              <w:spacing w:beforeLines="20" w:before="48" w:afterLines="20" w:after="48"/>
              <w:jc w:val="center"/>
              <w:rPr>
                <w:szCs w:val="24"/>
              </w:rPr>
            </w:pPr>
            <w:r w:rsidRPr="00AE7F83">
              <w:rPr>
                <w:szCs w:val="24"/>
              </w:rPr>
              <w:t>1</w:t>
            </w:r>
            <w:r w:rsidR="00AE7F83" w:rsidRPr="00AE7F83">
              <w:rPr>
                <w:szCs w:val="24"/>
              </w:rPr>
              <w:t>3</w:t>
            </w:r>
            <w:r w:rsidRPr="00AE7F83">
              <w:rPr>
                <w:szCs w:val="24"/>
              </w:rPr>
              <w:t>.1</w:t>
            </w:r>
          </w:p>
        </w:tc>
      </w:tr>
    </w:tbl>
    <w:p w14:paraId="51EFD159" w14:textId="0ECA25BB" w:rsidR="003A0233" w:rsidRPr="00201532" w:rsidRDefault="00D80E1C" w:rsidP="006C7448">
      <w:pPr>
        <w:pStyle w:val="ListParagraph"/>
        <w:widowControl w:val="0"/>
        <w:spacing w:before="240" w:line="480" w:lineRule="auto"/>
        <w:ind w:left="0" w:firstLine="720"/>
        <w:contextualSpacing w:val="0"/>
        <w:jc w:val="both"/>
        <w:rPr>
          <w:szCs w:val="24"/>
        </w:rPr>
      </w:pPr>
      <w:r w:rsidRPr="00201532">
        <w:rPr>
          <w:szCs w:val="24"/>
        </w:rPr>
        <w:t>The</w:t>
      </w:r>
      <w:r w:rsidR="003A0233" w:rsidRPr="00201532">
        <w:rPr>
          <w:szCs w:val="24"/>
        </w:rPr>
        <w:t xml:space="preserve"> Agreement includes other obligations t</w:t>
      </w:r>
      <w:r w:rsidR="00677D00" w:rsidRPr="00201532">
        <w:rPr>
          <w:szCs w:val="24"/>
        </w:rPr>
        <w:t xml:space="preserve">o which Defendant must adhere </w:t>
      </w:r>
      <w:r w:rsidR="008C4B4C" w:rsidRPr="00201532">
        <w:rPr>
          <w:szCs w:val="24"/>
        </w:rPr>
        <w:t>immediately:</w:t>
      </w:r>
    </w:p>
    <w:tbl>
      <w:tblPr>
        <w:tblStyle w:val="TableGrid"/>
        <w:tblW w:w="0" w:type="auto"/>
        <w:tblLayout w:type="fixed"/>
        <w:tblLook w:val="04A0" w:firstRow="1" w:lastRow="0" w:firstColumn="1" w:lastColumn="0" w:noHBand="0" w:noVBand="1"/>
      </w:tblPr>
      <w:tblGrid>
        <w:gridCol w:w="1615"/>
        <w:gridCol w:w="5310"/>
        <w:gridCol w:w="2425"/>
      </w:tblGrid>
      <w:tr w:rsidR="00827B08" w:rsidRPr="00662BD5" w14:paraId="2C472F99" w14:textId="77777777" w:rsidTr="0085551D">
        <w:tc>
          <w:tcPr>
            <w:tcW w:w="1615" w:type="dxa"/>
            <w:shd w:val="clear" w:color="auto" w:fill="D9E2F3" w:themeFill="accent1" w:themeFillTint="33"/>
            <w:vAlign w:val="center"/>
          </w:tcPr>
          <w:p w14:paraId="0492FCE0" w14:textId="7C1631F9" w:rsidR="00677D00" w:rsidRPr="00933176" w:rsidRDefault="00677D00" w:rsidP="006C7448">
            <w:pPr>
              <w:spacing w:before="40" w:after="40"/>
              <w:jc w:val="center"/>
              <w:rPr>
                <w:szCs w:val="24"/>
              </w:rPr>
            </w:pPr>
            <w:r w:rsidRPr="00933176">
              <w:rPr>
                <w:szCs w:val="24"/>
              </w:rPr>
              <w:t xml:space="preserve">Time from </w:t>
            </w:r>
            <w:r w:rsidR="00BB76E3" w:rsidRPr="00933176">
              <w:rPr>
                <w:szCs w:val="24"/>
              </w:rPr>
              <w:t>Effective Dat</w:t>
            </w:r>
            <w:r w:rsidR="00827B08" w:rsidRPr="00933176">
              <w:rPr>
                <w:szCs w:val="24"/>
              </w:rPr>
              <w:t>e</w:t>
            </w:r>
          </w:p>
        </w:tc>
        <w:tc>
          <w:tcPr>
            <w:tcW w:w="5310" w:type="dxa"/>
            <w:shd w:val="clear" w:color="auto" w:fill="D9E2F3" w:themeFill="accent1" w:themeFillTint="33"/>
            <w:vAlign w:val="center"/>
          </w:tcPr>
          <w:p w14:paraId="15FBC790" w14:textId="77777777" w:rsidR="00677D00" w:rsidRPr="00933176" w:rsidRDefault="00677D00" w:rsidP="006C7448">
            <w:pPr>
              <w:spacing w:before="40" w:after="40"/>
              <w:jc w:val="center"/>
              <w:rPr>
                <w:szCs w:val="24"/>
              </w:rPr>
            </w:pPr>
            <w:r w:rsidRPr="00933176">
              <w:rPr>
                <w:szCs w:val="24"/>
              </w:rPr>
              <w:t>Benchmark</w:t>
            </w:r>
          </w:p>
        </w:tc>
        <w:tc>
          <w:tcPr>
            <w:tcW w:w="2425" w:type="dxa"/>
            <w:shd w:val="clear" w:color="auto" w:fill="D9E2F3" w:themeFill="accent1" w:themeFillTint="33"/>
            <w:vAlign w:val="center"/>
          </w:tcPr>
          <w:p w14:paraId="5C9B20D2" w14:textId="460E7AC8" w:rsidR="00BB5A4F" w:rsidRPr="00F829D2" w:rsidRDefault="00F829D2" w:rsidP="006C7448">
            <w:pPr>
              <w:spacing w:before="40" w:after="40"/>
              <w:jc w:val="center"/>
              <w:rPr>
                <w:szCs w:val="24"/>
              </w:rPr>
            </w:pPr>
            <w:r w:rsidRPr="00F829D2">
              <w:rPr>
                <w:szCs w:val="24"/>
              </w:rPr>
              <w:t>Section(s) of</w:t>
            </w:r>
          </w:p>
          <w:p w14:paraId="77239CE7" w14:textId="7A8822C0" w:rsidR="00677D00" w:rsidRPr="00F829D2" w:rsidRDefault="00677D00" w:rsidP="006C7448">
            <w:pPr>
              <w:spacing w:before="40" w:after="40"/>
              <w:jc w:val="center"/>
              <w:rPr>
                <w:szCs w:val="24"/>
              </w:rPr>
            </w:pPr>
            <w:r w:rsidRPr="00F829D2">
              <w:rPr>
                <w:szCs w:val="24"/>
              </w:rPr>
              <w:t>Settlement Agreement</w:t>
            </w:r>
          </w:p>
        </w:tc>
      </w:tr>
      <w:tr w:rsidR="00827B08" w:rsidRPr="00662BD5" w14:paraId="5C054D86" w14:textId="77777777" w:rsidTr="0085551D">
        <w:tc>
          <w:tcPr>
            <w:tcW w:w="1615" w:type="dxa"/>
            <w:vAlign w:val="center"/>
          </w:tcPr>
          <w:p w14:paraId="0DCB726A" w14:textId="25F4DE26" w:rsidR="00677D00" w:rsidRPr="000D1E8F" w:rsidRDefault="00677D00" w:rsidP="006C7448">
            <w:pPr>
              <w:spacing w:before="40" w:after="40"/>
              <w:jc w:val="center"/>
              <w:rPr>
                <w:szCs w:val="24"/>
              </w:rPr>
            </w:pPr>
            <w:r w:rsidRPr="000D1E8F">
              <w:rPr>
                <w:szCs w:val="24"/>
              </w:rPr>
              <w:t>Immediately</w:t>
            </w:r>
          </w:p>
        </w:tc>
        <w:tc>
          <w:tcPr>
            <w:tcW w:w="5310" w:type="dxa"/>
          </w:tcPr>
          <w:p w14:paraId="50F11350" w14:textId="7658B11D" w:rsidR="00677D00" w:rsidRPr="000D1E8F" w:rsidRDefault="00677D00" w:rsidP="006C7448">
            <w:pPr>
              <w:spacing w:before="40" w:after="40"/>
              <w:jc w:val="center"/>
              <w:rPr>
                <w:szCs w:val="24"/>
              </w:rPr>
            </w:pPr>
            <w:r w:rsidRPr="000D1E8F">
              <w:rPr>
                <w:szCs w:val="24"/>
              </w:rPr>
              <w:t>Ensure the U.S. portion</w:t>
            </w:r>
            <w:r w:rsidR="00C60B50" w:rsidRPr="000D1E8F">
              <w:rPr>
                <w:szCs w:val="24"/>
              </w:rPr>
              <w:t>s</w:t>
            </w:r>
            <w:r w:rsidRPr="000D1E8F">
              <w:rPr>
                <w:szCs w:val="24"/>
              </w:rPr>
              <w:t xml:space="preserve"> of any New Websites and Mobile Apps are Accessible </w:t>
            </w:r>
            <w:r w:rsidR="00C60B50" w:rsidRPr="000D1E8F">
              <w:rPr>
                <w:szCs w:val="24"/>
              </w:rPr>
              <w:t>upon</w:t>
            </w:r>
            <w:r w:rsidRPr="000D1E8F">
              <w:rPr>
                <w:szCs w:val="24"/>
              </w:rPr>
              <w:t xml:space="preserve"> their release</w:t>
            </w:r>
          </w:p>
        </w:tc>
        <w:tc>
          <w:tcPr>
            <w:tcW w:w="2425" w:type="dxa"/>
            <w:vAlign w:val="center"/>
          </w:tcPr>
          <w:p w14:paraId="4B7ED6DA" w14:textId="56811382" w:rsidR="00677D00" w:rsidRPr="000D1E8F" w:rsidRDefault="000D1E8F" w:rsidP="006C7448">
            <w:pPr>
              <w:spacing w:before="40" w:after="40"/>
              <w:jc w:val="center"/>
              <w:rPr>
                <w:szCs w:val="24"/>
              </w:rPr>
            </w:pPr>
            <w:r w:rsidRPr="000D1E8F">
              <w:rPr>
                <w:szCs w:val="24"/>
              </w:rPr>
              <w:t>4</w:t>
            </w:r>
            <w:r w:rsidR="00677D00" w:rsidRPr="000D1E8F">
              <w:rPr>
                <w:szCs w:val="24"/>
              </w:rPr>
              <w:t>.2</w:t>
            </w:r>
          </w:p>
        </w:tc>
      </w:tr>
      <w:tr w:rsidR="00827B08" w:rsidRPr="00662BD5" w14:paraId="105943EB" w14:textId="77777777" w:rsidTr="0085551D">
        <w:tc>
          <w:tcPr>
            <w:tcW w:w="1615" w:type="dxa"/>
            <w:vAlign w:val="center"/>
          </w:tcPr>
          <w:p w14:paraId="0E8B0872" w14:textId="55037A8F" w:rsidR="00677D00" w:rsidRPr="000D1E8F" w:rsidRDefault="00677D00" w:rsidP="006C7448">
            <w:pPr>
              <w:spacing w:before="40" w:after="40"/>
              <w:jc w:val="center"/>
              <w:rPr>
                <w:szCs w:val="24"/>
              </w:rPr>
            </w:pPr>
            <w:r w:rsidRPr="000D1E8F">
              <w:rPr>
                <w:szCs w:val="24"/>
              </w:rPr>
              <w:t>Immediately</w:t>
            </w:r>
          </w:p>
        </w:tc>
        <w:tc>
          <w:tcPr>
            <w:tcW w:w="5310" w:type="dxa"/>
          </w:tcPr>
          <w:p w14:paraId="06CFA8A7" w14:textId="3BE9210A" w:rsidR="00677D00" w:rsidRPr="000D1E8F" w:rsidRDefault="00677D00" w:rsidP="006C7448">
            <w:pPr>
              <w:spacing w:before="40" w:after="40"/>
              <w:jc w:val="center"/>
              <w:rPr>
                <w:szCs w:val="24"/>
              </w:rPr>
            </w:pPr>
            <w:r w:rsidRPr="000D1E8F">
              <w:rPr>
                <w:szCs w:val="24"/>
              </w:rPr>
              <w:t>Ensure the U.S. portion</w:t>
            </w:r>
            <w:r w:rsidR="00C60B50" w:rsidRPr="000D1E8F">
              <w:rPr>
                <w:szCs w:val="24"/>
              </w:rPr>
              <w:t>s</w:t>
            </w:r>
            <w:r w:rsidRPr="000D1E8F">
              <w:rPr>
                <w:szCs w:val="24"/>
              </w:rPr>
              <w:t xml:space="preserve"> of </w:t>
            </w:r>
            <w:r w:rsidR="00D519BC" w:rsidRPr="000D1E8F">
              <w:rPr>
                <w:szCs w:val="24"/>
              </w:rPr>
              <w:t xml:space="preserve">any </w:t>
            </w:r>
            <w:r w:rsidRPr="000D1E8F">
              <w:rPr>
                <w:szCs w:val="24"/>
              </w:rPr>
              <w:t>Subsequently Acquired Websites and Mobile Apps are Accessible within 1</w:t>
            </w:r>
            <w:r w:rsidR="0048274D" w:rsidRPr="000D1E8F">
              <w:rPr>
                <w:szCs w:val="24"/>
              </w:rPr>
              <w:t>8</w:t>
            </w:r>
            <w:r w:rsidRPr="000D1E8F">
              <w:rPr>
                <w:szCs w:val="24"/>
              </w:rPr>
              <w:t xml:space="preserve"> months of their acquisition</w:t>
            </w:r>
          </w:p>
        </w:tc>
        <w:tc>
          <w:tcPr>
            <w:tcW w:w="2425" w:type="dxa"/>
            <w:vAlign w:val="center"/>
          </w:tcPr>
          <w:p w14:paraId="6785BAB9" w14:textId="2615E67D" w:rsidR="00677D00" w:rsidRPr="000D1E8F" w:rsidRDefault="000D1E8F" w:rsidP="006C7448">
            <w:pPr>
              <w:spacing w:before="40" w:after="40"/>
              <w:jc w:val="center"/>
              <w:rPr>
                <w:szCs w:val="24"/>
              </w:rPr>
            </w:pPr>
            <w:r w:rsidRPr="000D1E8F">
              <w:rPr>
                <w:szCs w:val="24"/>
              </w:rPr>
              <w:t>4</w:t>
            </w:r>
            <w:r w:rsidR="00677D00" w:rsidRPr="000D1E8F">
              <w:rPr>
                <w:szCs w:val="24"/>
              </w:rPr>
              <w:t>.3</w:t>
            </w:r>
          </w:p>
        </w:tc>
      </w:tr>
      <w:tr w:rsidR="00AD5ACE" w:rsidRPr="00662BD5" w14:paraId="6E426B33" w14:textId="77777777" w:rsidTr="0085551D">
        <w:tc>
          <w:tcPr>
            <w:tcW w:w="1615" w:type="dxa"/>
            <w:vAlign w:val="center"/>
          </w:tcPr>
          <w:p w14:paraId="069BA5C4" w14:textId="50E582CE" w:rsidR="00AD5ACE" w:rsidRPr="000D1E8F" w:rsidRDefault="00AD5ACE" w:rsidP="006C7448">
            <w:pPr>
              <w:spacing w:before="40" w:after="40"/>
              <w:jc w:val="center"/>
              <w:rPr>
                <w:szCs w:val="24"/>
              </w:rPr>
            </w:pPr>
            <w:r w:rsidRPr="000D1E8F">
              <w:rPr>
                <w:szCs w:val="24"/>
              </w:rPr>
              <w:t>Immediately</w:t>
            </w:r>
          </w:p>
        </w:tc>
        <w:tc>
          <w:tcPr>
            <w:tcW w:w="5310" w:type="dxa"/>
          </w:tcPr>
          <w:p w14:paraId="1C32F2BF" w14:textId="603325E2" w:rsidR="00AD5ACE" w:rsidRPr="000D1E8F" w:rsidRDefault="00AD5ACE" w:rsidP="006C7448">
            <w:pPr>
              <w:spacing w:before="40" w:after="40"/>
              <w:jc w:val="center"/>
              <w:rPr>
                <w:szCs w:val="24"/>
              </w:rPr>
            </w:pPr>
            <w:r w:rsidRPr="000D1E8F">
              <w:rPr>
                <w:szCs w:val="24"/>
              </w:rPr>
              <w:t>Request that vendors provide Third-Party Content that is Accessible</w:t>
            </w:r>
          </w:p>
        </w:tc>
        <w:tc>
          <w:tcPr>
            <w:tcW w:w="2425" w:type="dxa"/>
            <w:vAlign w:val="center"/>
          </w:tcPr>
          <w:p w14:paraId="6997591C" w14:textId="64346187" w:rsidR="00AD5ACE" w:rsidRPr="000D1E8F" w:rsidRDefault="000D1E8F" w:rsidP="006C7448">
            <w:pPr>
              <w:spacing w:before="40" w:after="40"/>
              <w:jc w:val="center"/>
              <w:rPr>
                <w:szCs w:val="24"/>
              </w:rPr>
            </w:pPr>
            <w:r w:rsidRPr="000D1E8F">
              <w:rPr>
                <w:szCs w:val="24"/>
              </w:rPr>
              <w:t>5</w:t>
            </w:r>
            <w:r w:rsidR="00AD5ACE" w:rsidRPr="000D1E8F">
              <w:rPr>
                <w:szCs w:val="24"/>
              </w:rPr>
              <w:t>.2</w:t>
            </w:r>
          </w:p>
        </w:tc>
      </w:tr>
      <w:tr w:rsidR="00827B08" w:rsidRPr="00662BD5" w14:paraId="4A89C81A" w14:textId="77777777" w:rsidTr="0085551D">
        <w:tc>
          <w:tcPr>
            <w:tcW w:w="1615" w:type="dxa"/>
            <w:vAlign w:val="center"/>
          </w:tcPr>
          <w:p w14:paraId="21E97C9E" w14:textId="33D959FC" w:rsidR="00FB0984" w:rsidRPr="0043779A" w:rsidRDefault="00FB0984" w:rsidP="006C7448">
            <w:pPr>
              <w:spacing w:before="40" w:after="40"/>
              <w:jc w:val="center"/>
              <w:rPr>
                <w:szCs w:val="24"/>
              </w:rPr>
            </w:pPr>
            <w:r w:rsidRPr="0043779A">
              <w:rPr>
                <w:szCs w:val="24"/>
              </w:rPr>
              <w:t>Immediately</w:t>
            </w:r>
          </w:p>
        </w:tc>
        <w:tc>
          <w:tcPr>
            <w:tcW w:w="5310" w:type="dxa"/>
          </w:tcPr>
          <w:p w14:paraId="155E8082" w14:textId="048E4213" w:rsidR="00FB0984" w:rsidRPr="0043779A" w:rsidRDefault="00FB0984" w:rsidP="006C7448">
            <w:pPr>
              <w:spacing w:before="40" w:after="40"/>
              <w:jc w:val="center"/>
              <w:rPr>
                <w:szCs w:val="24"/>
              </w:rPr>
            </w:pPr>
            <w:r w:rsidRPr="0043779A">
              <w:rPr>
                <w:szCs w:val="24"/>
              </w:rPr>
              <w:t xml:space="preserve">Provide accessibility training to all newly-hired employees </w:t>
            </w:r>
            <w:r w:rsidR="00297422" w:rsidRPr="0043779A">
              <w:rPr>
                <w:szCs w:val="24"/>
              </w:rPr>
              <w:t xml:space="preserve">responsible </w:t>
            </w:r>
            <w:r w:rsidR="00297422" w:rsidRPr="0043779A">
              <w:rPr>
                <w:snapToGrid w:val="0"/>
                <w:szCs w:val="24"/>
              </w:rPr>
              <w:t>for website and mobile application design, development</w:t>
            </w:r>
            <w:r w:rsidR="00297422" w:rsidRPr="0043779A">
              <w:rPr>
                <w:szCs w:val="24"/>
              </w:rPr>
              <w:t>, and maintenance</w:t>
            </w:r>
            <w:r w:rsidR="00297422" w:rsidRPr="0043779A" w:rsidDel="00D80E1C">
              <w:rPr>
                <w:szCs w:val="24"/>
              </w:rPr>
              <w:t xml:space="preserve"> </w:t>
            </w:r>
            <w:r w:rsidRPr="0043779A">
              <w:rPr>
                <w:szCs w:val="24"/>
              </w:rPr>
              <w:t xml:space="preserve">within </w:t>
            </w:r>
            <w:r w:rsidR="00C744A1" w:rsidRPr="0043779A">
              <w:rPr>
                <w:szCs w:val="24"/>
              </w:rPr>
              <w:t>180</w:t>
            </w:r>
            <w:r w:rsidR="00D519BC" w:rsidRPr="0043779A">
              <w:rPr>
                <w:szCs w:val="24"/>
              </w:rPr>
              <w:t xml:space="preserve"> </w:t>
            </w:r>
            <w:r w:rsidRPr="0043779A">
              <w:rPr>
                <w:szCs w:val="24"/>
              </w:rPr>
              <w:t>days of their hire date</w:t>
            </w:r>
          </w:p>
        </w:tc>
        <w:tc>
          <w:tcPr>
            <w:tcW w:w="2425" w:type="dxa"/>
            <w:vAlign w:val="center"/>
          </w:tcPr>
          <w:p w14:paraId="6574BD29" w14:textId="50ED56EC" w:rsidR="00FB0984" w:rsidRPr="0043779A" w:rsidRDefault="00016839" w:rsidP="006C7448">
            <w:pPr>
              <w:spacing w:before="40" w:after="40"/>
              <w:jc w:val="center"/>
              <w:rPr>
                <w:szCs w:val="24"/>
              </w:rPr>
            </w:pPr>
            <w:r w:rsidRPr="0043779A">
              <w:rPr>
                <w:szCs w:val="24"/>
              </w:rPr>
              <w:t>1</w:t>
            </w:r>
            <w:r w:rsidR="0043779A" w:rsidRPr="0043779A">
              <w:rPr>
                <w:szCs w:val="24"/>
              </w:rPr>
              <w:t>1</w:t>
            </w:r>
            <w:r w:rsidRPr="0043779A">
              <w:rPr>
                <w:szCs w:val="24"/>
              </w:rPr>
              <w:t>.3</w:t>
            </w:r>
          </w:p>
        </w:tc>
      </w:tr>
      <w:tr w:rsidR="00DE3458" w:rsidRPr="00662BD5" w14:paraId="4EEC4F38" w14:textId="77777777" w:rsidTr="0085551D">
        <w:tc>
          <w:tcPr>
            <w:tcW w:w="1615" w:type="dxa"/>
            <w:vAlign w:val="center"/>
          </w:tcPr>
          <w:p w14:paraId="7B459BFA" w14:textId="7422F38A" w:rsidR="00DE3458" w:rsidRPr="0043779A" w:rsidRDefault="00DE3458" w:rsidP="006C7448">
            <w:pPr>
              <w:spacing w:before="40" w:after="40"/>
              <w:jc w:val="center"/>
              <w:rPr>
                <w:szCs w:val="24"/>
              </w:rPr>
            </w:pPr>
            <w:r w:rsidRPr="0043779A">
              <w:rPr>
                <w:szCs w:val="24"/>
              </w:rPr>
              <w:t>Immediately</w:t>
            </w:r>
          </w:p>
        </w:tc>
        <w:tc>
          <w:tcPr>
            <w:tcW w:w="5310" w:type="dxa"/>
          </w:tcPr>
          <w:p w14:paraId="387DBB4F" w14:textId="67124BE8" w:rsidR="00DE3458" w:rsidRPr="0043779A" w:rsidRDefault="00DE3458" w:rsidP="006C7448">
            <w:pPr>
              <w:spacing w:before="40" w:after="40"/>
              <w:jc w:val="center"/>
              <w:rPr>
                <w:szCs w:val="24"/>
              </w:rPr>
            </w:pPr>
            <w:r w:rsidRPr="0043779A">
              <w:rPr>
                <w:szCs w:val="24"/>
              </w:rPr>
              <w:t xml:space="preserve">Perform </w:t>
            </w:r>
            <w:r w:rsidR="0043779A" w:rsidRPr="0043779A">
              <w:rPr>
                <w:szCs w:val="24"/>
              </w:rPr>
              <w:t>s</w:t>
            </w:r>
            <w:r w:rsidR="000C324F" w:rsidRPr="0043779A">
              <w:rPr>
                <w:szCs w:val="24"/>
              </w:rPr>
              <w:t>emi-</w:t>
            </w:r>
            <w:r w:rsidR="0043779A" w:rsidRPr="0043779A">
              <w:rPr>
                <w:szCs w:val="24"/>
              </w:rPr>
              <w:t>a</w:t>
            </w:r>
            <w:r w:rsidR="000C324F" w:rsidRPr="0043779A">
              <w:rPr>
                <w:szCs w:val="24"/>
              </w:rPr>
              <w:t xml:space="preserve">nnual </w:t>
            </w:r>
            <w:r w:rsidR="0043779A" w:rsidRPr="0043779A">
              <w:rPr>
                <w:szCs w:val="24"/>
              </w:rPr>
              <w:t>a</w:t>
            </w:r>
            <w:r w:rsidR="000C324F" w:rsidRPr="0043779A">
              <w:rPr>
                <w:szCs w:val="24"/>
              </w:rPr>
              <w:t xml:space="preserve">utomated </w:t>
            </w:r>
            <w:r w:rsidR="0043779A" w:rsidRPr="0043779A">
              <w:rPr>
                <w:szCs w:val="24"/>
              </w:rPr>
              <w:t>a</w:t>
            </w:r>
            <w:r w:rsidR="000C324F" w:rsidRPr="0043779A">
              <w:rPr>
                <w:szCs w:val="24"/>
              </w:rPr>
              <w:t xml:space="preserve">ccessibility </w:t>
            </w:r>
            <w:r w:rsidR="0043779A" w:rsidRPr="0043779A">
              <w:rPr>
                <w:szCs w:val="24"/>
              </w:rPr>
              <w:t>a</w:t>
            </w:r>
            <w:r w:rsidR="000C324F" w:rsidRPr="0043779A">
              <w:rPr>
                <w:szCs w:val="24"/>
              </w:rPr>
              <w:t xml:space="preserve">udits </w:t>
            </w:r>
            <w:r w:rsidRPr="0043779A">
              <w:rPr>
                <w:szCs w:val="24"/>
              </w:rPr>
              <w:t>to evaluate whether the Digital Properties are Accessible</w:t>
            </w:r>
          </w:p>
        </w:tc>
        <w:tc>
          <w:tcPr>
            <w:tcW w:w="2425" w:type="dxa"/>
            <w:vAlign w:val="center"/>
          </w:tcPr>
          <w:p w14:paraId="4A879858" w14:textId="4F7CF770" w:rsidR="00DE3458" w:rsidRPr="0043779A" w:rsidRDefault="00DE3458" w:rsidP="006C7448">
            <w:pPr>
              <w:spacing w:before="40" w:after="40"/>
              <w:jc w:val="center"/>
              <w:rPr>
                <w:szCs w:val="24"/>
              </w:rPr>
            </w:pPr>
            <w:r w:rsidRPr="0043779A">
              <w:rPr>
                <w:szCs w:val="24"/>
              </w:rPr>
              <w:t>1</w:t>
            </w:r>
            <w:r w:rsidR="0043779A" w:rsidRPr="0043779A">
              <w:rPr>
                <w:szCs w:val="24"/>
              </w:rPr>
              <w:t>4</w:t>
            </w:r>
            <w:r w:rsidRPr="0043779A">
              <w:rPr>
                <w:szCs w:val="24"/>
              </w:rPr>
              <w:t>.1</w:t>
            </w:r>
          </w:p>
        </w:tc>
      </w:tr>
      <w:tr w:rsidR="00DE3458" w:rsidRPr="00662BD5" w14:paraId="4962ADD3" w14:textId="77777777" w:rsidTr="0085551D">
        <w:tc>
          <w:tcPr>
            <w:tcW w:w="1615" w:type="dxa"/>
            <w:vAlign w:val="center"/>
          </w:tcPr>
          <w:p w14:paraId="4986E8D2" w14:textId="7AF061BA" w:rsidR="00DE3458" w:rsidRPr="004F3391" w:rsidRDefault="00DE3458" w:rsidP="006C7448">
            <w:pPr>
              <w:spacing w:before="40" w:after="40"/>
              <w:jc w:val="center"/>
              <w:rPr>
                <w:szCs w:val="24"/>
              </w:rPr>
            </w:pPr>
            <w:r w:rsidRPr="004F3391">
              <w:rPr>
                <w:szCs w:val="24"/>
              </w:rPr>
              <w:t>Immediately</w:t>
            </w:r>
          </w:p>
        </w:tc>
        <w:tc>
          <w:tcPr>
            <w:tcW w:w="5310" w:type="dxa"/>
          </w:tcPr>
          <w:p w14:paraId="579E8DC4" w14:textId="6EBC90D9" w:rsidR="00DE3458" w:rsidRPr="004F3391" w:rsidRDefault="00DE3458" w:rsidP="006C7448">
            <w:pPr>
              <w:spacing w:before="40" w:after="40"/>
              <w:jc w:val="center"/>
              <w:rPr>
                <w:iCs/>
                <w:szCs w:val="24"/>
              </w:rPr>
            </w:pPr>
            <w:r w:rsidRPr="004F3391">
              <w:rPr>
                <w:szCs w:val="24"/>
              </w:rPr>
              <w:t xml:space="preserve">Perform </w:t>
            </w:r>
            <w:r w:rsidR="008F7485" w:rsidRPr="004F3391">
              <w:rPr>
                <w:szCs w:val="24"/>
              </w:rPr>
              <w:t>a</w:t>
            </w:r>
            <w:r w:rsidR="006B1211" w:rsidRPr="004F3391">
              <w:rPr>
                <w:szCs w:val="24"/>
              </w:rPr>
              <w:t xml:space="preserve">nnual </w:t>
            </w:r>
            <w:r w:rsidR="008F7485" w:rsidRPr="004F3391">
              <w:rPr>
                <w:szCs w:val="24"/>
              </w:rPr>
              <w:t>e</w:t>
            </w:r>
            <w:r w:rsidR="006B1211" w:rsidRPr="004F3391">
              <w:rPr>
                <w:szCs w:val="24"/>
              </w:rPr>
              <w:t>nd-</w:t>
            </w:r>
            <w:r w:rsidR="008F7485" w:rsidRPr="004F3391">
              <w:rPr>
                <w:szCs w:val="24"/>
              </w:rPr>
              <w:t>u</w:t>
            </w:r>
            <w:r w:rsidR="006B1211" w:rsidRPr="004F3391">
              <w:rPr>
                <w:szCs w:val="24"/>
              </w:rPr>
              <w:t xml:space="preserve">ser </w:t>
            </w:r>
            <w:r w:rsidR="008F7485" w:rsidRPr="004F3391">
              <w:rPr>
                <w:szCs w:val="24"/>
              </w:rPr>
              <w:t>a</w:t>
            </w:r>
            <w:r w:rsidR="006B1211" w:rsidRPr="004F3391">
              <w:rPr>
                <w:szCs w:val="24"/>
              </w:rPr>
              <w:t xml:space="preserve">ccessibility </w:t>
            </w:r>
            <w:r w:rsidR="008F7485" w:rsidRPr="004F3391">
              <w:rPr>
                <w:szCs w:val="24"/>
              </w:rPr>
              <w:t>t</w:t>
            </w:r>
            <w:r w:rsidR="006B1211" w:rsidRPr="004F3391">
              <w:rPr>
                <w:szCs w:val="24"/>
              </w:rPr>
              <w:t xml:space="preserve">esting </w:t>
            </w:r>
            <w:r w:rsidR="006B1211" w:rsidRPr="004F3391">
              <w:rPr>
                <w:szCs w:val="24"/>
              </w:rPr>
              <w:br/>
              <w:t>t</w:t>
            </w:r>
            <w:r w:rsidRPr="004F3391">
              <w:rPr>
                <w:szCs w:val="24"/>
              </w:rPr>
              <w:t xml:space="preserve">o </w:t>
            </w:r>
            <w:r w:rsidR="004F3391" w:rsidRPr="004F3391">
              <w:rPr>
                <w:szCs w:val="24"/>
              </w:rPr>
              <w:t>evaluat</w:t>
            </w:r>
            <w:r w:rsidR="006B1211" w:rsidRPr="004F3391">
              <w:rPr>
                <w:szCs w:val="24"/>
              </w:rPr>
              <w:t>e</w:t>
            </w:r>
            <w:r w:rsidRPr="004F3391">
              <w:rPr>
                <w:szCs w:val="24"/>
              </w:rPr>
              <w:t xml:space="preserve"> whether the Digital Properties </w:t>
            </w:r>
            <w:r w:rsidR="006B1211" w:rsidRPr="004F3391">
              <w:rPr>
                <w:szCs w:val="24"/>
              </w:rPr>
              <w:br/>
            </w:r>
            <w:r w:rsidRPr="004F3391">
              <w:rPr>
                <w:szCs w:val="24"/>
              </w:rPr>
              <w:t>are Accessible</w:t>
            </w:r>
          </w:p>
        </w:tc>
        <w:tc>
          <w:tcPr>
            <w:tcW w:w="2425" w:type="dxa"/>
            <w:vAlign w:val="center"/>
          </w:tcPr>
          <w:p w14:paraId="78B16AFF" w14:textId="3F8F14F8" w:rsidR="00DE3458" w:rsidRPr="004F3391" w:rsidRDefault="00DE3458" w:rsidP="006C7448">
            <w:pPr>
              <w:spacing w:before="40" w:after="40"/>
              <w:jc w:val="center"/>
              <w:rPr>
                <w:szCs w:val="24"/>
              </w:rPr>
            </w:pPr>
            <w:r w:rsidRPr="004F3391">
              <w:rPr>
                <w:szCs w:val="24"/>
              </w:rPr>
              <w:t>1</w:t>
            </w:r>
            <w:r w:rsidR="008F7485" w:rsidRPr="004F3391">
              <w:rPr>
                <w:szCs w:val="24"/>
              </w:rPr>
              <w:t>5</w:t>
            </w:r>
            <w:r w:rsidRPr="004F3391">
              <w:rPr>
                <w:szCs w:val="24"/>
              </w:rPr>
              <w:t>.1</w:t>
            </w:r>
          </w:p>
        </w:tc>
      </w:tr>
      <w:tr w:rsidR="00DE3458" w:rsidRPr="00662BD5" w14:paraId="4E7D20F6" w14:textId="77777777" w:rsidTr="0085551D">
        <w:tc>
          <w:tcPr>
            <w:tcW w:w="1615" w:type="dxa"/>
            <w:vAlign w:val="center"/>
          </w:tcPr>
          <w:p w14:paraId="63A7B652" w14:textId="1B5CE164" w:rsidR="00DE3458" w:rsidRPr="00690AF9" w:rsidRDefault="00DE3458" w:rsidP="006C7448">
            <w:pPr>
              <w:spacing w:before="40" w:after="40"/>
              <w:jc w:val="center"/>
              <w:rPr>
                <w:szCs w:val="24"/>
              </w:rPr>
            </w:pPr>
            <w:r w:rsidRPr="00690AF9">
              <w:rPr>
                <w:szCs w:val="24"/>
              </w:rPr>
              <w:t>2023</w:t>
            </w:r>
          </w:p>
        </w:tc>
        <w:tc>
          <w:tcPr>
            <w:tcW w:w="5310" w:type="dxa"/>
          </w:tcPr>
          <w:p w14:paraId="340A4B72" w14:textId="5BE35B2B" w:rsidR="00DE3458" w:rsidRPr="00690AF9" w:rsidRDefault="00DE3458" w:rsidP="006C7448">
            <w:pPr>
              <w:spacing w:before="40" w:after="40"/>
              <w:jc w:val="center"/>
              <w:rPr>
                <w:szCs w:val="24"/>
              </w:rPr>
            </w:pPr>
            <w:r w:rsidRPr="00690AF9">
              <w:rPr>
                <w:szCs w:val="24"/>
              </w:rPr>
              <w:t>Provide annual refresher accessibility training</w:t>
            </w:r>
            <w:r w:rsidR="00800042" w:rsidRPr="00690AF9">
              <w:rPr>
                <w:szCs w:val="24"/>
              </w:rPr>
              <w:t xml:space="preserve"> to all employees responsible </w:t>
            </w:r>
            <w:r w:rsidR="00800042" w:rsidRPr="00690AF9">
              <w:rPr>
                <w:snapToGrid w:val="0"/>
                <w:szCs w:val="24"/>
              </w:rPr>
              <w:t>for website and mobile application design, development</w:t>
            </w:r>
            <w:r w:rsidR="00800042" w:rsidRPr="00690AF9">
              <w:rPr>
                <w:szCs w:val="24"/>
              </w:rPr>
              <w:t>, and maintenance</w:t>
            </w:r>
          </w:p>
        </w:tc>
        <w:tc>
          <w:tcPr>
            <w:tcW w:w="2425" w:type="dxa"/>
            <w:vAlign w:val="center"/>
          </w:tcPr>
          <w:p w14:paraId="09FD1E39" w14:textId="6A9D4A9F" w:rsidR="00DE3458" w:rsidRPr="00690AF9" w:rsidRDefault="00DE3458" w:rsidP="006C7448">
            <w:pPr>
              <w:spacing w:before="40" w:after="40"/>
              <w:jc w:val="center"/>
              <w:rPr>
                <w:szCs w:val="24"/>
              </w:rPr>
            </w:pPr>
            <w:r w:rsidRPr="00690AF9">
              <w:rPr>
                <w:szCs w:val="24"/>
              </w:rPr>
              <w:t>1</w:t>
            </w:r>
            <w:r w:rsidR="00690AF9" w:rsidRPr="00690AF9">
              <w:rPr>
                <w:szCs w:val="24"/>
              </w:rPr>
              <w:t>1</w:t>
            </w:r>
            <w:r w:rsidRPr="00690AF9">
              <w:rPr>
                <w:szCs w:val="24"/>
              </w:rPr>
              <w:t>.4</w:t>
            </w:r>
          </w:p>
        </w:tc>
      </w:tr>
    </w:tbl>
    <w:p w14:paraId="21C0F680" w14:textId="77777777" w:rsidR="00AB2739" w:rsidRPr="00AB2739" w:rsidRDefault="00AB2739" w:rsidP="00AB2739">
      <w:pPr>
        <w:keepNext/>
        <w:widowControl w:val="0"/>
        <w:tabs>
          <w:tab w:val="left" w:pos="720"/>
          <w:tab w:val="left" w:pos="1440"/>
        </w:tabs>
        <w:ind w:right="720"/>
        <w:rPr>
          <w:b/>
          <w:bCs/>
          <w:szCs w:val="24"/>
          <w:highlight w:val="yellow"/>
        </w:rPr>
      </w:pPr>
    </w:p>
    <w:p w14:paraId="0C8AF9CC" w14:textId="0111C50B" w:rsidR="00F7107B" w:rsidRPr="00647128" w:rsidRDefault="00F7107B" w:rsidP="00647128">
      <w:pPr>
        <w:pStyle w:val="ListParagraph"/>
        <w:keepNext/>
        <w:widowControl w:val="0"/>
        <w:numPr>
          <w:ilvl w:val="1"/>
          <w:numId w:val="1"/>
        </w:numPr>
        <w:tabs>
          <w:tab w:val="left" w:pos="720"/>
          <w:tab w:val="left" w:pos="1440"/>
        </w:tabs>
        <w:spacing w:after="240"/>
        <w:ind w:right="630" w:hanging="720"/>
        <w:contextualSpacing w:val="0"/>
        <w:rPr>
          <w:b/>
          <w:bCs/>
          <w:szCs w:val="24"/>
        </w:rPr>
      </w:pPr>
      <w:r w:rsidRPr="00647128">
        <w:rPr>
          <w:b/>
          <w:bCs/>
          <w:szCs w:val="24"/>
        </w:rPr>
        <w:t xml:space="preserve">Enjoining Settlement Class Members </w:t>
      </w:r>
      <w:r w:rsidR="0038007D" w:rsidRPr="00647128">
        <w:rPr>
          <w:b/>
          <w:bCs/>
          <w:szCs w:val="24"/>
        </w:rPr>
        <w:t xml:space="preserve">From </w:t>
      </w:r>
      <w:r w:rsidRPr="00647128">
        <w:rPr>
          <w:b/>
          <w:bCs/>
          <w:szCs w:val="24"/>
        </w:rPr>
        <w:t xml:space="preserve">Asserting </w:t>
      </w:r>
      <w:r w:rsidR="00F01756" w:rsidRPr="00647128">
        <w:rPr>
          <w:b/>
          <w:bCs/>
          <w:szCs w:val="24"/>
        </w:rPr>
        <w:t xml:space="preserve">Released </w:t>
      </w:r>
      <w:r w:rsidRPr="00647128">
        <w:rPr>
          <w:b/>
          <w:bCs/>
          <w:szCs w:val="24"/>
        </w:rPr>
        <w:t>Claims</w:t>
      </w:r>
    </w:p>
    <w:p w14:paraId="0DA1AF90" w14:textId="2DD1FCCB" w:rsidR="00A81341" w:rsidRPr="00662BD5" w:rsidRDefault="00F7107B" w:rsidP="006C7448">
      <w:pPr>
        <w:widowControl w:val="0"/>
        <w:tabs>
          <w:tab w:val="left" w:pos="720"/>
          <w:tab w:val="left" w:pos="1440"/>
          <w:tab w:val="left" w:leader="dot" w:pos="8928"/>
        </w:tabs>
        <w:spacing w:line="480" w:lineRule="auto"/>
        <w:jc w:val="both"/>
        <w:rPr>
          <w:szCs w:val="24"/>
          <w:highlight w:val="yellow"/>
        </w:rPr>
      </w:pPr>
      <w:r w:rsidRPr="00295FDB">
        <w:rPr>
          <w:szCs w:val="24"/>
        </w:rPr>
        <w:tab/>
      </w:r>
      <w:r w:rsidRPr="005B1273">
        <w:rPr>
          <w:szCs w:val="24"/>
        </w:rPr>
        <w:t xml:space="preserve">The Agreement </w:t>
      </w:r>
      <w:r w:rsidR="001A6D2F">
        <w:rPr>
          <w:szCs w:val="24"/>
        </w:rPr>
        <w:t>requires</w:t>
      </w:r>
      <w:r w:rsidRPr="005B1273">
        <w:rPr>
          <w:szCs w:val="24"/>
        </w:rPr>
        <w:t xml:space="preserve"> </w:t>
      </w:r>
      <w:r w:rsidR="0076187A" w:rsidRPr="005B1273">
        <w:rPr>
          <w:szCs w:val="24"/>
        </w:rPr>
        <w:t>Plaintiff</w:t>
      </w:r>
      <w:r w:rsidRPr="005B1273">
        <w:rPr>
          <w:szCs w:val="24"/>
        </w:rPr>
        <w:t xml:space="preserve"> to request the Court enjoin Settlement Class Members from </w:t>
      </w:r>
      <w:r w:rsidR="00E34B85">
        <w:rPr>
          <w:szCs w:val="24"/>
        </w:rPr>
        <w:t>bringing</w:t>
      </w:r>
      <w:r w:rsidRPr="005B1273">
        <w:rPr>
          <w:szCs w:val="24"/>
        </w:rPr>
        <w:t xml:space="preserve"> any “Released Injunctive Claims</w:t>
      </w:r>
      <w:r w:rsidR="00813D4F" w:rsidRPr="005B1273">
        <w:rPr>
          <w:szCs w:val="24"/>
        </w:rPr>
        <w:t>.</w:t>
      </w:r>
      <w:r w:rsidRPr="005B1273">
        <w:rPr>
          <w:szCs w:val="24"/>
        </w:rPr>
        <w:t xml:space="preserve">” </w:t>
      </w:r>
      <w:r w:rsidR="00A81341" w:rsidRPr="005B1273">
        <w:rPr>
          <w:szCs w:val="24"/>
        </w:rPr>
        <w:t>(</w:t>
      </w:r>
      <w:r w:rsidR="005B1273" w:rsidRPr="00B1421C">
        <w:rPr>
          <w:szCs w:val="24"/>
        </w:rPr>
        <w:t>Ex</w:t>
      </w:r>
      <w:r w:rsidR="00A81341" w:rsidRPr="00B1421C">
        <w:rPr>
          <w:szCs w:val="24"/>
        </w:rPr>
        <w:t xml:space="preserve">. 1, § </w:t>
      </w:r>
      <w:r w:rsidR="00F075A6" w:rsidRPr="00B1421C">
        <w:rPr>
          <w:szCs w:val="24"/>
        </w:rPr>
        <w:t>2</w:t>
      </w:r>
      <w:r w:rsidR="00B1421C" w:rsidRPr="00B1421C">
        <w:rPr>
          <w:szCs w:val="24"/>
        </w:rPr>
        <w:t>6</w:t>
      </w:r>
      <w:r w:rsidR="00F075A6" w:rsidRPr="00B1421C">
        <w:rPr>
          <w:szCs w:val="24"/>
        </w:rPr>
        <w:t>.1.</w:t>
      </w:r>
      <w:r w:rsidR="00A81341" w:rsidRPr="00B1421C">
        <w:rPr>
          <w:szCs w:val="24"/>
        </w:rPr>
        <w:t xml:space="preserve">) </w:t>
      </w:r>
      <w:r w:rsidR="00A024A8" w:rsidRPr="00B1421C">
        <w:rPr>
          <w:bCs/>
          <w:szCs w:val="24"/>
        </w:rPr>
        <w:t>This</w:t>
      </w:r>
      <w:r w:rsidR="00A024A8" w:rsidRPr="005B1273">
        <w:rPr>
          <w:bCs/>
          <w:szCs w:val="24"/>
        </w:rPr>
        <w:t xml:space="preserve"> term</w:t>
      </w:r>
      <w:r w:rsidRPr="005B1273">
        <w:rPr>
          <w:szCs w:val="24"/>
        </w:rPr>
        <w:t xml:space="preserve"> </w:t>
      </w:r>
      <w:r w:rsidR="00A024A8" w:rsidRPr="005B1273">
        <w:rPr>
          <w:szCs w:val="24"/>
        </w:rPr>
        <w:t>is defined as</w:t>
      </w:r>
      <w:r w:rsidR="00A81341" w:rsidRPr="005B1273">
        <w:rPr>
          <w:szCs w:val="24"/>
        </w:rPr>
        <w:t>:</w:t>
      </w:r>
    </w:p>
    <w:p w14:paraId="1A32D5C3" w14:textId="778B17FE" w:rsidR="002A58B8" w:rsidRPr="005B1273" w:rsidRDefault="001A6D2F" w:rsidP="006C7448">
      <w:pPr>
        <w:widowControl w:val="0"/>
        <w:tabs>
          <w:tab w:val="left" w:pos="720"/>
        </w:tabs>
        <w:ind w:left="720" w:right="720"/>
        <w:jc w:val="both"/>
        <w:rPr>
          <w:szCs w:val="24"/>
        </w:rPr>
      </w:pPr>
      <w:r>
        <w:rPr>
          <w:szCs w:val="24"/>
        </w:rPr>
        <w:t>[A]</w:t>
      </w:r>
      <w:proofErr w:type="spellStart"/>
      <w:r w:rsidR="0076187A" w:rsidRPr="005B1273">
        <w:rPr>
          <w:szCs w:val="24"/>
        </w:rPr>
        <w:t>ny</w:t>
      </w:r>
      <w:proofErr w:type="spellEnd"/>
      <w:r w:rsidR="0076187A" w:rsidRPr="005B1273">
        <w:rPr>
          <w:szCs w:val="24"/>
        </w:rPr>
        <w:t xml:space="preserve"> and all claims, rights,</w:t>
      </w:r>
      <w:r w:rsidR="0076187A" w:rsidRPr="005B1273">
        <w:rPr>
          <w:spacing w:val="-24"/>
          <w:szCs w:val="24"/>
        </w:rPr>
        <w:t xml:space="preserve"> </w:t>
      </w:r>
      <w:r w:rsidR="0076187A" w:rsidRPr="005B1273">
        <w:rPr>
          <w:szCs w:val="24"/>
        </w:rPr>
        <w:t xml:space="preserve">demands, charges, complaints, actions, suits and causes of action, whether known </w:t>
      </w:r>
      <w:r w:rsidR="0076187A" w:rsidRPr="005B1273">
        <w:rPr>
          <w:spacing w:val="-9"/>
          <w:szCs w:val="24"/>
        </w:rPr>
        <w:t xml:space="preserve">or </w:t>
      </w:r>
      <w:r w:rsidR="0076187A" w:rsidRPr="005B1273">
        <w:rPr>
          <w:szCs w:val="24"/>
        </w:rPr>
        <w:t xml:space="preserve">unknown, suspected or unsuspected, accrued or unaccrued, for injunctive, declaratory, or non-monetary relief, </w:t>
      </w:r>
      <w:r w:rsidR="0076187A" w:rsidRPr="005B1273">
        <w:rPr>
          <w:spacing w:val="-3"/>
          <w:szCs w:val="24"/>
        </w:rPr>
        <w:t xml:space="preserve">based on </w:t>
      </w:r>
      <w:r w:rsidR="0076187A" w:rsidRPr="005B1273">
        <w:rPr>
          <w:szCs w:val="24"/>
        </w:rPr>
        <w:t>the Accessibility of the Digital Properties to persons who are limited in the life activity of seeing and who use screen reader auxiliary aids to access digital information, including any injunctive, declaratory, or non-monetary claims under: (</w:t>
      </w:r>
      <w:proofErr w:type="spellStart"/>
      <w:r w:rsidR="0076187A" w:rsidRPr="005B1273">
        <w:rPr>
          <w:szCs w:val="24"/>
        </w:rPr>
        <w:t>i</w:t>
      </w:r>
      <w:proofErr w:type="spellEnd"/>
      <w:r w:rsidR="0076187A" w:rsidRPr="005B1273">
        <w:rPr>
          <w:szCs w:val="24"/>
        </w:rPr>
        <w:t>) the ADA; and (ii) any state or local statutory, administrative, regulatory, or code provisions that either (a) directly incorporate</w:t>
      </w:r>
      <w:r w:rsidR="005B1273" w:rsidRPr="005B1273">
        <w:rPr>
          <w:szCs w:val="24"/>
        </w:rPr>
        <w:t>s</w:t>
      </w:r>
      <w:r w:rsidR="0076187A" w:rsidRPr="005B1273">
        <w:rPr>
          <w:szCs w:val="24"/>
        </w:rPr>
        <w:t xml:space="preserve"> the ADA or (b) set</w:t>
      </w:r>
      <w:r w:rsidR="005B1273" w:rsidRPr="005B1273">
        <w:rPr>
          <w:szCs w:val="24"/>
        </w:rPr>
        <w:t>s</w:t>
      </w:r>
      <w:r w:rsidR="0076187A" w:rsidRPr="005B1273">
        <w:rPr>
          <w:szCs w:val="24"/>
        </w:rPr>
        <w:t xml:space="preserve"> forth standards or obligations coterminous with or equivalent to the ADA.</w:t>
      </w:r>
    </w:p>
    <w:p w14:paraId="35B4178A" w14:textId="77777777" w:rsidR="002A58B8" w:rsidRPr="005B1273" w:rsidRDefault="002A58B8" w:rsidP="006C7448">
      <w:pPr>
        <w:widowControl w:val="0"/>
        <w:tabs>
          <w:tab w:val="left" w:pos="720"/>
          <w:tab w:val="left" w:pos="1440"/>
          <w:tab w:val="left" w:leader="dot" w:pos="8928"/>
        </w:tabs>
        <w:jc w:val="both"/>
        <w:rPr>
          <w:szCs w:val="24"/>
        </w:rPr>
      </w:pPr>
    </w:p>
    <w:p w14:paraId="59D67C05" w14:textId="5B0BA23A" w:rsidR="007E4F92" w:rsidRPr="005B1273" w:rsidRDefault="002A58B8" w:rsidP="006C7448">
      <w:pPr>
        <w:widowControl w:val="0"/>
        <w:tabs>
          <w:tab w:val="left" w:pos="720"/>
          <w:tab w:val="left" w:pos="1440"/>
          <w:tab w:val="left" w:leader="dot" w:pos="8928"/>
        </w:tabs>
        <w:spacing w:line="480" w:lineRule="auto"/>
        <w:jc w:val="both"/>
        <w:rPr>
          <w:szCs w:val="24"/>
        </w:rPr>
      </w:pPr>
      <w:r w:rsidRPr="005B1273">
        <w:rPr>
          <w:szCs w:val="24"/>
        </w:rPr>
        <w:t>(</w:t>
      </w:r>
      <w:r w:rsidRPr="005B1273">
        <w:rPr>
          <w:i/>
          <w:iCs/>
          <w:szCs w:val="24"/>
        </w:rPr>
        <w:t>Id</w:t>
      </w:r>
      <w:r w:rsidRPr="005B1273">
        <w:rPr>
          <w:szCs w:val="24"/>
        </w:rPr>
        <w:t>., § 2.3</w:t>
      </w:r>
      <w:r w:rsidR="005B1273" w:rsidRPr="005B1273">
        <w:rPr>
          <w:szCs w:val="24"/>
        </w:rPr>
        <w:t>4</w:t>
      </w:r>
      <w:r w:rsidRPr="005B1273">
        <w:rPr>
          <w:szCs w:val="24"/>
        </w:rPr>
        <w:t xml:space="preserve">.) </w:t>
      </w:r>
      <w:r w:rsidR="0076187A" w:rsidRPr="005B1273">
        <w:rPr>
          <w:szCs w:val="24"/>
        </w:rPr>
        <w:t xml:space="preserve">The Released Injunctive Claims </w:t>
      </w:r>
      <w:r w:rsidR="00223CD6" w:rsidRPr="005B1273">
        <w:rPr>
          <w:szCs w:val="24"/>
        </w:rPr>
        <w:t>“</w:t>
      </w:r>
      <w:r w:rsidR="0076187A" w:rsidRPr="005B1273">
        <w:rPr>
          <w:szCs w:val="24"/>
        </w:rPr>
        <w:t>cover all conduct concerning the Accessibility of the Digital Properties through the Agreement Term</w:t>
      </w:r>
      <w:r w:rsidR="00F7107B" w:rsidRPr="005B1273">
        <w:rPr>
          <w:szCs w:val="24"/>
        </w:rPr>
        <w:t>.</w:t>
      </w:r>
      <w:r w:rsidR="00813D4F" w:rsidRPr="005B1273">
        <w:rPr>
          <w:szCs w:val="24"/>
        </w:rPr>
        <w:t xml:space="preserve">” </w:t>
      </w:r>
      <w:r w:rsidR="007E4F92" w:rsidRPr="005B1273">
        <w:rPr>
          <w:szCs w:val="24"/>
        </w:rPr>
        <w:t>(</w:t>
      </w:r>
      <w:r w:rsidR="00223CD6" w:rsidRPr="005B1273">
        <w:rPr>
          <w:i/>
          <w:iCs/>
          <w:szCs w:val="24"/>
        </w:rPr>
        <w:t>Id</w:t>
      </w:r>
      <w:r w:rsidR="00223CD6" w:rsidRPr="005B1273">
        <w:rPr>
          <w:szCs w:val="24"/>
        </w:rPr>
        <w:t>.)</w:t>
      </w:r>
    </w:p>
    <w:p w14:paraId="44215AAB" w14:textId="4AD7A042" w:rsidR="00053AF5" w:rsidRPr="00DD7C60" w:rsidRDefault="007E4F92" w:rsidP="006C7448">
      <w:pPr>
        <w:widowControl w:val="0"/>
        <w:tabs>
          <w:tab w:val="left" w:pos="720"/>
          <w:tab w:val="left" w:pos="1440"/>
          <w:tab w:val="left" w:leader="dot" w:pos="8928"/>
        </w:tabs>
        <w:spacing w:line="480" w:lineRule="auto"/>
        <w:jc w:val="both"/>
        <w:rPr>
          <w:szCs w:val="24"/>
        </w:rPr>
      </w:pPr>
      <w:r w:rsidRPr="00295FDB">
        <w:rPr>
          <w:szCs w:val="24"/>
        </w:rPr>
        <w:tab/>
      </w:r>
      <w:r w:rsidR="00053AF5" w:rsidRPr="00DD7C60">
        <w:rPr>
          <w:szCs w:val="24"/>
        </w:rPr>
        <w:t xml:space="preserve">This request is consistent </w:t>
      </w:r>
      <w:r w:rsidR="008C5872" w:rsidRPr="00DD7C60">
        <w:rPr>
          <w:szCs w:val="24"/>
        </w:rPr>
        <w:t xml:space="preserve">with </w:t>
      </w:r>
      <w:r w:rsidR="00053AF5" w:rsidRPr="00DD7C60">
        <w:rPr>
          <w:szCs w:val="24"/>
        </w:rPr>
        <w:t xml:space="preserve">the agreements approved in </w:t>
      </w:r>
      <w:r w:rsidR="00053AF5" w:rsidRPr="00DD7C60">
        <w:rPr>
          <w:i/>
          <w:iCs/>
          <w:szCs w:val="24"/>
        </w:rPr>
        <w:t>Eyebobs</w:t>
      </w:r>
      <w:r w:rsidR="00053AF5" w:rsidRPr="00DD7C60">
        <w:rPr>
          <w:szCs w:val="24"/>
        </w:rPr>
        <w:t xml:space="preserve"> (Doc. 49</w:t>
      </w:r>
      <w:r w:rsidR="00D93614">
        <w:rPr>
          <w:szCs w:val="24"/>
        </w:rPr>
        <w:t xml:space="preserve"> at </w:t>
      </w:r>
      <w:r w:rsidR="00053AF5" w:rsidRPr="00DD7C60">
        <w:rPr>
          <w:szCs w:val="24"/>
        </w:rPr>
        <w:t>Ex. A, §</w:t>
      </w:r>
      <w:r w:rsidR="00B75018" w:rsidRPr="00DD7C60">
        <w:rPr>
          <w:szCs w:val="24"/>
        </w:rPr>
        <w:t>§</w:t>
      </w:r>
      <w:r w:rsidR="00053AF5" w:rsidRPr="00DD7C60">
        <w:rPr>
          <w:szCs w:val="24"/>
        </w:rPr>
        <w:t xml:space="preserve"> </w:t>
      </w:r>
      <w:r w:rsidR="00B75018" w:rsidRPr="00DD7C60">
        <w:rPr>
          <w:szCs w:val="24"/>
        </w:rPr>
        <w:t xml:space="preserve">2.35, </w:t>
      </w:r>
      <w:r w:rsidR="00053AF5" w:rsidRPr="00DD7C60">
        <w:rPr>
          <w:szCs w:val="24"/>
        </w:rPr>
        <w:t xml:space="preserve">28.1), </w:t>
      </w:r>
      <w:r w:rsidR="00053AF5" w:rsidRPr="00DD7C60">
        <w:rPr>
          <w:i/>
          <w:iCs/>
          <w:szCs w:val="24"/>
        </w:rPr>
        <w:t xml:space="preserve">Charles Tyrwhitt </w:t>
      </w:r>
      <w:r w:rsidR="00053AF5" w:rsidRPr="00DD7C60">
        <w:rPr>
          <w:szCs w:val="24"/>
        </w:rPr>
        <w:t>(Doc. 47-1 at §</w:t>
      </w:r>
      <w:r w:rsidR="00A73265" w:rsidRPr="00DD7C60">
        <w:rPr>
          <w:szCs w:val="24"/>
        </w:rPr>
        <w:t>§</w:t>
      </w:r>
      <w:r w:rsidR="00053AF5" w:rsidRPr="00DD7C60">
        <w:rPr>
          <w:szCs w:val="24"/>
        </w:rPr>
        <w:t xml:space="preserve"> </w:t>
      </w:r>
      <w:r w:rsidR="001537C6" w:rsidRPr="00DD7C60">
        <w:rPr>
          <w:szCs w:val="24"/>
        </w:rPr>
        <w:t>2.32</w:t>
      </w:r>
      <w:r w:rsidR="00A73265" w:rsidRPr="00DD7C60">
        <w:rPr>
          <w:szCs w:val="24"/>
        </w:rPr>
        <w:t xml:space="preserve">, </w:t>
      </w:r>
      <w:r w:rsidR="00053AF5" w:rsidRPr="00DD7C60">
        <w:rPr>
          <w:szCs w:val="24"/>
        </w:rPr>
        <w:t xml:space="preserve">26.1), </w:t>
      </w:r>
      <w:r w:rsidR="00EB0E06">
        <w:rPr>
          <w:i/>
          <w:iCs/>
          <w:szCs w:val="24"/>
        </w:rPr>
        <w:t>The Hundreds</w:t>
      </w:r>
      <w:r w:rsidR="00EB0E06" w:rsidRPr="00DD7C60">
        <w:rPr>
          <w:szCs w:val="24"/>
        </w:rPr>
        <w:t xml:space="preserve"> (Doc. </w:t>
      </w:r>
      <w:r w:rsidR="00DC5A77">
        <w:rPr>
          <w:szCs w:val="24"/>
        </w:rPr>
        <w:t>41</w:t>
      </w:r>
      <w:r w:rsidR="00DD7421">
        <w:rPr>
          <w:szCs w:val="24"/>
        </w:rPr>
        <w:t>, Ex. A</w:t>
      </w:r>
      <w:r w:rsidR="00EB0E06" w:rsidRPr="00D93614">
        <w:rPr>
          <w:szCs w:val="24"/>
        </w:rPr>
        <w:t xml:space="preserve"> at §§ 2.3</w:t>
      </w:r>
      <w:r w:rsidR="00E25E95" w:rsidRPr="00D93614">
        <w:rPr>
          <w:szCs w:val="24"/>
        </w:rPr>
        <w:t>5</w:t>
      </w:r>
      <w:r w:rsidR="00EB0E06" w:rsidRPr="00D93614">
        <w:rPr>
          <w:szCs w:val="24"/>
        </w:rPr>
        <w:t>, 2</w:t>
      </w:r>
      <w:r w:rsidR="00E25E95" w:rsidRPr="00D93614">
        <w:rPr>
          <w:szCs w:val="24"/>
        </w:rPr>
        <w:t>9</w:t>
      </w:r>
      <w:r w:rsidR="00EB0E06" w:rsidRPr="00D93614">
        <w:rPr>
          <w:szCs w:val="24"/>
        </w:rPr>
        <w:t xml:space="preserve">.1), </w:t>
      </w:r>
      <w:r w:rsidR="00053AF5" w:rsidRPr="00D93614">
        <w:rPr>
          <w:i/>
          <w:iCs/>
          <w:szCs w:val="24"/>
        </w:rPr>
        <w:t>Optavia</w:t>
      </w:r>
      <w:r w:rsidR="00053AF5" w:rsidRPr="00D93614">
        <w:rPr>
          <w:szCs w:val="24"/>
        </w:rPr>
        <w:t xml:space="preserve"> (Doc. 12-1 at</w:t>
      </w:r>
      <w:r w:rsidR="00EB0E06" w:rsidRPr="00D93614">
        <w:rPr>
          <w:szCs w:val="24"/>
        </w:rPr>
        <w:t xml:space="preserve"> </w:t>
      </w:r>
      <w:r w:rsidR="00053AF5" w:rsidRPr="00D93614">
        <w:rPr>
          <w:szCs w:val="24"/>
        </w:rPr>
        <w:t>§</w:t>
      </w:r>
      <w:r w:rsidR="00A73265" w:rsidRPr="00D93614">
        <w:rPr>
          <w:szCs w:val="24"/>
        </w:rPr>
        <w:t>§</w:t>
      </w:r>
      <w:r w:rsidR="00053AF5" w:rsidRPr="00D93614">
        <w:rPr>
          <w:szCs w:val="24"/>
        </w:rPr>
        <w:t xml:space="preserve"> </w:t>
      </w:r>
      <w:r w:rsidR="00875A8C" w:rsidRPr="00D93614">
        <w:rPr>
          <w:szCs w:val="24"/>
        </w:rPr>
        <w:t xml:space="preserve">2.38, </w:t>
      </w:r>
      <w:r w:rsidR="00053AF5" w:rsidRPr="00D93614">
        <w:rPr>
          <w:szCs w:val="24"/>
        </w:rPr>
        <w:t xml:space="preserve">28.1), and </w:t>
      </w:r>
      <w:r w:rsidR="00053AF5" w:rsidRPr="00D93614">
        <w:rPr>
          <w:i/>
          <w:iCs/>
          <w:szCs w:val="24"/>
        </w:rPr>
        <w:t xml:space="preserve">Poly-Wood </w:t>
      </w:r>
      <w:r w:rsidR="00053AF5" w:rsidRPr="00D93614">
        <w:rPr>
          <w:szCs w:val="24"/>
        </w:rPr>
        <w:t xml:space="preserve">(Doc. </w:t>
      </w:r>
      <w:r w:rsidR="00E140EF">
        <w:rPr>
          <w:szCs w:val="24"/>
        </w:rPr>
        <w:t>45</w:t>
      </w:r>
      <w:r w:rsidR="00053AF5" w:rsidRPr="00D93614">
        <w:rPr>
          <w:szCs w:val="24"/>
        </w:rPr>
        <w:t xml:space="preserve"> at </w:t>
      </w:r>
      <w:r w:rsidR="00E140EF">
        <w:rPr>
          <w:szCs w:val="24"/>
        </w:rPr>
        <w:t xml:space="preserve">Ex. A, </w:t>
      </w:r>
      <w:r w:rsidR="00A73265" w:rsidRPr="00D93614">
        <w:rPr>
          <w:szCs w:val="24"/>
        </w:rPr>
        <w:t>§</w:t>
      </w:r>
      <w:r w:rsidR="00053AF5" w:rsidRPr="00D93614">
        <w:rPr>
          <w:szCs w:val="24"/>
        </w:rPr>
        <w:t xml:space="preserve">§ </w:t>
      </w:r>
      <w:r w:rsidR="00413602" w:rsidRPr="00D93614">
        <w:rPr>
          <w:szCs w:val="24"/>
        </w:rPr>
        <w:t xml:space="preserve">2.32, </w:t>
      </w:r>
      <w:r w:rsidR="00053AF5" w:rsidRPr="00D93614">
        <w:rPr>
          <w:szCs w:val="24"/>
        </w:rPr>
        <w:t>25.1).</w:t>
      </w:r>
    </w:p>
    <w:p w14:paraId="05C7FDCE" w14:textId="0A967DD5" w:rsidR="00090CFE" w:rsidRPr="000F1DE8" w:rsidRDefault="00053AF5" w:rsidP="006C7448">
      <w:pPr>
        <w:widowControl w:val="0"/>
        <w:tabs>
          <w:tab w:val="left" w:pos="720"/>
          <w:tab w:val="left" w:pos="1440"/>
          <w:tab w:val="left" w:leader="dot" w:pos="8928"/>
        </w:tabs>
        <w:spacing w:line="480" w:lineRule="auto"/>
        <w:jc w:val="both"/>
        <w:rPr>
          <w:szCs w:val="24"/>
        </w:rPr>
      </w:pPr>
      <w:r w:rsidRPr="00295FDB">
        <w:rPr>
          <w:szCs w:val="24"/>
        </w:rPr>
        <w:tab/>
      </w:r>
      <w:r w:rsidRPr="000F1DE8">
        <w:rPr>
          <w:szCs w:val="24"/>
        </w:rPr>
        <w:t>It</w:t>
      </w:r>
      <w:r w:rsidR="00813D4F" w:rsidRPr="000F1DE8">
        <w:rPr>
          <w:szCs w:val="24"/>
        </w:rPr>
        <w:t xml:space="preserve"> </w:t>
      </w:r>
      <w:r w:rsidRPr="000F1DE8">
        <w:rPr>
          <w:szCs w:val="24"/>
        </w:rPr>
        <w:t xml:space="preserve">also </w:t>
      </w:r>
      <w:r w:rsidR="00813D4F" w:rsidRPr="000F1DE8">
        <w:rPr>
          <w:szCs w:val="24"/>
        </w:rPr>
        <w:t xml:space="preserve">mirrors </w:t>
      </w:r>
      <w:r w:rsidR="00634EBC" w:rsidRPr="000F1DE8">
        <w:rPr>
          <w:szCs w:val="24"/>
        </w:rPr>
        <w:t xml:space="preserve">a </w:t>
      </w:r>
      <w:r w:rsidRPr="000F1DE8">
        <w:rPr>
          <w:szCs w:val="24"/>
        </w:rPr>
        <w:t xml:space="preserve">2006 </w:t>
      </w:r>
      <w:r w:rsidR="00634EBC" w:rsidRPr="000F1DE8">
        <w:rPr>
          <w:szCs w:val="24"/>
        </w:rPr>
        <w:t xml:space="preserve">settlement agreement </w:t>
      </w:r>
      <w:r w:rsidR="00451473" w:rsidRPr="000F1DE8">
        <w:rPr>
          <w:szCs w:val="24"/>
        </w:rPr>
        <w:t>that</w:t>
      </w:r>
      <w:r w:rsidR="00634EBC" w:rsidRPr="000F1DE8">
        <w:rPr>
          <w:szCs w:val="24"/>
        </w:rPr>
        <w:t xml:space="preserve"> resolved nationwide ADA </w:t>
      </w:r>
      <w:r w:rsidR="001777B5" w:rsidRPr="000F1DE8">
        <w:rPr>
          <w:szCs w:val="24"/>
        </w:rPr>
        <w:t xml:space="preserve">class </w:t>
      </w:r>
      <w:r w:rsidR="00634EBC" w:rsidRPr="000F1DE8">
        <w:rPr>
          <w:szCs w:val="24"/>
        </w:rPr>
        <w:t xml:space="preserve">claims—and </w:t>
      </w:r>
      <w:r w:rsidR="00451473" w:rsidRPr="000F1DE8">
        <w:rPr>
          <w:szCs w:val="24"/>
        </w:rPr>
        <w:t>that</w:t>
      </w:r>
      <w:r w:rsidR="00634EBC" w:rsidRPr="000F1DE8">
        <w:rPr>
          <w:szCs w:val="24"/>
        </w:rPr>
        <w:t xml:space="preserve"> was judicially approved—in </w:t>
      </w:r>
      <w:r w:rsidR="00634EBC" w:rsidRPr="000F1DE8">
        <w:rPr>
          <w:i/>
          <w:iCs/>
          <w:szCs w:val="24"/>
        </w:rPr>
        <w:t>Lucas v. Kmart Corporation</w:t>
      </w:r>
      <w:r w:rsidR="00634EBC" w:rsidRPr="000F1DE8">
        <w:rPr>
          <w:szCs w:val="24"/>
        </w:rPr>
        <w:t>, No. 1:99-cv-01923 (D. Col.).</w:t>
      </w:r>
      <w:r w:rsidR="007E4F92" w:rsidRPr="000F1DE8">
        <w:rPr>
          <w:szCs w:val="24"/>
        </w:rPr>
        <w:t xml:space="preserve"> </w:t>
      </w:r>
      <w:r w:rsidR="00634EBC" w:rsidRPr="000F1DE8">
        <w:rPr>
          <w:szCs w:val="24"/>
        </w:rPr>
        <w:t xml:space="preserve">In </w:t>
      </w:r>
      <w:r w:rsidR="00634EBC" w:rsidRPr="000F1DE8">
        <w:rPr>
          <w:i/>
          <w:iCs/>
          <w:szCs w:val="24"/>
        </w:rPr>
        <w:t>Lucas</w:t>
      </w:r>
      <w:r w:rsidR="00634EBC" w:rsidRPr="000F1DE8">
        <w:rPr>
          <w:szCs w:val="24"/>
        </w:rPr>
        <w:t xml:space="preserve">, </w:t>
      </w:r>
      <w:r w:rsidR="00413602" w:rsidRPr="000F1DE8">
        <w:rPr>
          <w:szCs w:val="24"/>
        </w:rPr>
        <w:t>p</w:t>
      </w:r>
      <w:r w:rsidR="008F37C0" w:rsidRPr="000F1DE8">
        <w:rPr>
          <w:szCs w:val="24"/>
        </w:rPr>
        <w:t>laintiff</w:t>
      </w:r>
      <w:r w:rsidR="00413602" w:rsidRPr="000F1DE8">
        <w:rPr>
          <w:szCs w:val="24"/>
        </w:rPr>
        <w:t>s</w:t>
      </w:r>
      <w:r w:rsidR="00634EBC" w:rsidRPr="000F1DE8">
        <w:rPr>
          <w:szCs w:val="24"/>
        </w:rPr>
        <w:t xml:space="preserve"> who </w:t>
      </w:r>
      <w:r w:rsidR="00B15A27" w:rsidRPr="000F1DE8">
        <w:rPr>
          <w:szCs w:val="24"/>
        </w:rPr>
        <w:t>used wheelchair</w:t>
      </w:r>
      <w:r w:rsidR="002708FD" w:rsidRPr="000F1DE8">
        <w:rPr>
          <w:szCs w:val="24"/>
        </w:rPr>
        <w:t>s</w:t>
      </w:r>
      <w:r w:rsidR="00B15A27" w:rsidRPr="000F1DE8">
        <w:rPr>
          <w:szCs w:val="24"/>
        </w:rPr>
        <w:t xml:space="preserve"> or scooter</w:t>
      </w:r>
      <w:r w:rsidR="002708FD" w:rsidRPr="000F1DE8">
        <w:rPr>
          <w:szCs w:val="24"/>
        </w:rPr>
        <w:t>s</w:t>
      </w:r>
      <w:r w:rsidR="00B15A27" w:rsidRPr="000F1DE8">
        <w:rPr>
          <w:szCs w:val="24"/>
        </w:rPr>
        <w:t xml:space="preserve"> for mobility alleged </w:t>
      </w:r>
      <w:r w:rsidR="002708FD" w:rsidRPr="000F1DE8">
        <w:rPr>
          <w:szCs w:val="24"/>
        </w:rPr>
        <w:t xml:space="preserve">that </w:t>
      </w:r>
      <w:r w:rsidR="00B15A27" w:rsidRPr="000F1DE8">
        <w:rPr>
          <w:szCs w:val="24"/>
        </w:rPr>
        <w:t>they were denied full and equal enjoyment of Kmart’s goods and services because Kmart failed to maintain unobstructed aisles, parking spaces, restrooms, fitting rooms, checkout lanes</w:t>
      </w:r>
      <w:r w:rsidR="001777B5" w:rsidRPr="000F1DE8">
        <w:rPr>
          <w:szCs w:val="24"/>
        </w:rPr>
        <w:t>, and more</w:t>
      </w:r>
      <w:r w:rsidR="00B15A27" w:rsidRPr="000F1DE8">
        <w:rPr>
          <w:szCs w:val="24"/>
        </w:rPr>
        <w:t xml:space="preserve">. After seven years of litigation, the court </w:t>
      </w:r>
      <w:r w:rsidR="0037737A" w:rsidRPr="000F1DE8">
        <w:rPr>
          <w:szCs w:val="24"/>
        </w:rPr>
        <w:t xml:space="preserve">approved a settlement agreement resolving </w:t>
      </w:r>
      <w:r w:rsidR="001777B5" w:rsidRPr="000F1DE8">
        <w:rPr>
          <w:szCs w:val="24"/>
        </w:rPr>
        <w:t xml:space="preserve">the </w:t>
      </w:r>
      <w:r w:rsidR="002708FD" w:rsidRPr="000F1DE8">
        <w:rPr>
          <w:szCs w:val="24"/>
        </w:rPr>
        <w:t>p</w:t>
      </w:r>
      <w:r w:rsidR="008F37C0" w:rsidRPr="000F1DE8">
        <w:rPr>
          <w:szCs w:val="24"/>
        </w:rPr>
        <w:t>laintiffs</w:t>
      </w:r>
      <w:r w:rsidR="002708FD" w:rsidRPr="000F1DE8">
        <w:rPr>
          <w:szCs w:val="24"/>
        </w:rPr>
        <w:t>’</w:t>
      </w:r>
      <w:r w:rsidR="008F37C0" w:rsidRPr="000F1DE8">
        <w:rPr>
          <w:szCs w:val="24"/>
        </w:rPr>
        <w:t xml:space="preserve"> </w:t>
      </w:r>
      <w:r w:rsidR="0037737A" w:rsidRPr="000F1DE8">
        <w:rPr>
          <w:szCs w:val="24"/>
        </w:rPr>
        <w:t xml:space="preserve">claims. </w:t>
      </w:r>
      <w:r w:rsidR="0037737A" w:rsidRPr="000F1DE8">
        <w:rPr>
          <w:i/>
          <w:iCs/>
          <w:szCs w:val="24"/>
        </w:rPr>
        <w:t>See</w:t>
      </w:r>
      <w:r w:rsidR="0037737A" w:rsidRPr="000F1DE8">
        <w:rPr>
          <w:szCs w:val="24"/>
        </w:rPr>
        <w:t xml:space="preserve"> </w:t>
      </w:r>
      <w:r w:rsidR="0037737A" w:rsidRPr="000F1DE8">
        <w:rPr>
          <w:i/>
          <w:iCs/>
          <w:szCs w:val="24"/>
        </w:rPr>
        <w:t>Lucas</w:t>
      </w:r>
      <w:r w:rsidR="0037737A" w:rsidRPr="000F1DE8">
        <w:rPr>
          <w:szCs w:val="24"/>
        </w:rPr>
        <w:t xml:space="preserve">, </w:t>
      </w:r>
      <w:r w:rsidR="004B6D8D" w:rsidRPr="000F1DE8">
        <w:rPr>
          <w:szCs w:val="24"/>
        </w:rPr>
        <w:t xml:space="preserve">No. 1:99-cv-01923, </w:t>
      </w:r>
      <w:r w:rsidR="009F7612" w:rsidRPr="000F1DE8">
        <w:rPr>
          <w:szCs w:val="24"/>
        </w:rPr>
        <w:t>Doc.</w:t>
      </w:r>
      <w:r w:rsidR="0037737A" w:rsidRPr="000F1DE8">
        <w:rPr>
          <w:szCs w:val="24"/>
        </w:rPr>
        <w:t xml:space="preserve"> 235 (D. Col. July </w:t>
      </w:r>
      <w:r w:rsidR="00375FAD" w:rsidRPr="000F1DE8">
        <w:rPr>
          <w:szCs w:val="24"/>
        </w:rPr>
        <w:t>2</w:t>
      </w:r>
      <w:r w:rsidR="0037737A" w:rsidRPr="000F1DE8">
        <w:rPr>
          <w:szCs w:val="24"/>
        </w:rPr>
        <w:t>7, 2006). The settlement agreement allowed Kmart up to seven-and-a-half years to remediate its stores nationwide, during which time the court retain</w:t>
      </w:r>
      <w:r w:rsidR="001A6D2F">
        <w:rPr>
          <w:szCs w:val="24"/>
        </w:rPr>
        <w:t>ed</w:t>
      </w:r>
      <w:r w:rsidR="0037737A" w:rsidRPr="000F1DE8">
        <w:rPr>
          <w:szCs w:val="24"/>
        </w:rPr>
        <w:t xml:space="preserve"> jurisdiction. </w:t>
      </w:r>
      <w:r w:rsidR="006B6D6C" w:rsidRPr="000F1DE8">
        <w:rPr>
          <w:i/>
          <w:iCs/>
          <w:szCs w:val="24"/>
        </w:rPr>
        <w:t>Id.</w:t>
      </w:r>
      <w:r w:rsidR="00143A14" w:rsidRPr="000F1DE8">
        <w:rPr>
          <w:szCs w:val="24"/>
        </w:rPr>
        <w:t xml:space="preserve"> </w:t>
      </w:r>
      <w:r w:rsidR="0037737A" w:rsidRPr="000F1DE8">
        <w:rPr>
          <w:szCs w:val="24"/>
        </w:rPr>
        <w:t xml:space="preserve">at 26. </w:t>
      </w:r>
      <w:r w:rsidR="002221F4" w:rsidRPr="000F1DE8">
        <w:rPr>
          <w:szCs w:val="24"/>
        </w:rPr>
        <w:t>T</w:t>
      </w:r>
      <w:r w:rsidR="001777B5" w:rsidRPr="000F1DE8">
        <w:rPr>
          <w:szCs w:val="24"/>
        </w:rPr>
        <w:t xml:space="preserve">he court </w:t>
      </w:r>
      <w:r w:rsidR="00090CFE" w:rsidRPr="000F1DE8">
        <w:rPr>
          <w:szCs w:val="24"/>
        </w:rPr>
        <w:t>enjoined a nationwide ADA class from asserting or pursuing released claims during the remediation period</w:t>
      </w:r>
      <w:r w:rsidR="00445FC3" w:rsidRPr="000F1DE8">
        <w:rPr>
          <w:szCs w:val="24"/>
        </w:rPr>
        <w:t>. The court explained</w:t>
      </w:r>
      <w:r w:rsidR="00090CFE" w:rsidRPr="000F1DE8">
        <w:rPr>
          <w:szCs w:val="24"/>
        </w:rPr>
        <w:t>:</w:t>
      </w:r>
    </w:p>
    <w:p w14:paraId="1C38BD1C" w14:textId="4517A773" w:rsidR="00090CFE" w:rsidRPr="000F1DE8" w:rsidRDefault="001A6D2F" w:rsidP="006C7448">
      <w:pPr>
        <w:widowControl w:val="0"/>
        <w:spacing w:after="240" w:line="276" w:lineRule="auto"/>
        <w:ind w:left="720" w:right="720"/>
        <w:jc w:val="both"/>
        <w:rPr>
          <w:szCs w:val="24"/>
        </w:rPr>
      </w:pPr>
      <w:r>
        <w:rPr>
          <w:szCs w:val="24"/>
        </w:rPr>
        <w:lastRenderedPageBreak/>
        <w:t>I</w:t>
      </w:r>
      <w:r w:rsidR="00090CFE" w:rsidRPr="000F1DE8">
        <w:rPr>
          <w:szCs w:val="24"/>
        </w:rPr>
        <w:t xml:space="preserve">t is particularly appropriate to issue an injunction in this case because the settlement has a term of approximately seven and a half years during which the </w:t>
      </w:r>
      <w:r w:rsidR="00ED0CB6" w:rsidRPr="000F1DE8">
        <w:rPr>
          <w:szCs w:val="24"/>
        </w:rPr>
        <w:t>C</w:t>
      </w:r>
      <w:r w:rsidR="00090CFE" w:rsidRPr="000F1DE8">
        <w:rPr>
          <w:szCs w:val="24"/>
        </w:rPr>
        <w:t>ourt will continue to retain jurisdiction</w:t>
      </w:r>
      <w:r w:rsidR="00AB4D3F" w:rsidRPr="000F1DE8">
        <w:rPr>
          <w:szCs w:val="24"/>
        </w:rPr>
        <w:t xml:space="preserve"> </w:t>
      </w:r>
      <w:r w:rsidR="006A2678" w:rsidRPr="000F1DE8">
        <w:rPr>
          <w:szCs w:val="24"/>
        </w:rPr>
        <w:t xml:space="preserve">. . . </w:t>
      </w:r>
      <w:r w:rsidR="00090CFE" w:rsidRPr="000F1DE8">
        <w:rPr>
          <w:szCs w:val="24"/>
        </w:rPr>
        <w:t xml:space="preserve">. Therefore, because the </w:t>
      </w:r>
      <w:r w:rsidR="00ED0CB6" w:rsidRPr="000F1DE8">
        <w:rPr>
          <w:szCs w:val="24"/>
        </w:rPr>
        <w:t>C</w:t>
      </w:r>
      <w:r w:rsidR="00090CFE" w:rsidRPr="000F1DE8">
        <w:rPr>
          <w:szCs w:val="24"/>
        </w:rPr>
        <w:t xml:space="preserve">ourt finds that it would aid in the protection of its jurisdiction and is necessary in order to effectuate this settlement, the </w:t>
      </w:r>
      <w:r w:rsidR="00ED0CB6" w:rsidRPr="000F1DE8">
        <w:rPr>
          <w:szCs w:val="24"/>
        </w:rPr>
        <w:t>C</w:t>
      </w:r>
      <w:r w:rsidR="00090CFE" w:rsidRPr="000F1DE8">
        <w:rPr>
          <w:szCs w:val="24"/>
        </w:rPr>
        <w:t xml:space="preserve">ourt hereby permanently enjoins members of the Nationwide Class </w:t>
      </w:r>
      <w:r w:rsidR="00ED0CB6" w:rsidRPr="000F1DE8">
        <w:rPr>
          <w:szCs w:val="24"/>
        </w:rPr>
        <w:t xml:space="preserve">. . . </w:t>
      </w:r>
      <w:r w:rsidR="00090CFE" w:rsidRPr="000F1DE8">
        <w:rPr>
          <w:szCs w:val="24"/>
        </w:rPr>
        <w:t>from asserting or pursuing</w:t>
      </w:r>
      <w:r w:rsidR="00A4359C" w:rsidRPr="000F1DE8">
        <w:rPr>
          <w:szCs w:val="24"/>
        </w:rPr>
        <w:t xml:space="preserve"> . . . [c]</w:t>
      </w:r>
      <w:proofErr w:type="spellStart"/>
      <w:r w:rsidR="00143A14" w:rsidRPr="000F1DE8">
        <w:rPr>
          <w:szCs w:val="24"/>
        </w:rPr>
        <w:t>laims</w:t>
      </w:r>
      <w:proofErr w:type="spellEnd"/>
      <w:r w:rsidR="00143A14" w:rsidRPr="000F1DE8">
        <w:rPr>
          <w:szCs w:val="24"/>
        </w:rPr>
        <w:t xml:space="preserve"> seeking injunctive relief relating in any way to the accessibility of Kmart stores to persons who use wheelchairs or scooters under Title III of the Americans with Disabilities Act</w:t>
      </w:r>
      <w:r w:rsidR="00A4359C" w:rsidRPr="000F1DE8">
        <w:rPr>
          <w:szCs w:val="24"/>
        </w:rPr>
        <w:t>[</w:t>
      </w:r>
      <w:r w:rsidR="00143A14" w:rsidRPr="000F1DE8">
        <w:rPr>
          <w:szCs w:val="24"/>
        </w:rPr>
        <w:t>.</w:t>
      </w:r>
      <w:r w:rsidR="00A4359C" w:rsidRPr="000F1DE8">
        <w:rPr>
          <w:szCs w:val="24"/>
        </w:rPr>
        <w:t>]</w:t>
      </w:r>
    </w:p>
    <w:p w14:paraId="7E58EEE3" w14:textId="628F505F" w:rsidR="00BE46A1" w:rsidRPr="000F1DE8" w:rsidRDefault="00445FC3" w:rsidP="006C7448">
      <w:pPr>
        <w:widowControl w:val="0"/>
        <w:spacing w:line="480" w:lineRule="auto"/>
        <w:jc w:val="both"/>
        <w:rPr>
          <w:szCs w:val="24"/>
        </w:rPr>
      </w:pPr>
      <w:r w:rsidRPr="000F1DE8">
        <w:rPr>
          <w:i/>
          <w:iCs/>
          <w:szCs w:val="24"/>
        </w:rPr>
        <w:t>Id.</w:t>
      </w:r>
      <w:r w:rsidR="00143A14" w:rsidRPr="000F1DE8">
        <w:rPr>
          <w:szCs w:val="24"/>
        </w:rPr>
        <w:t xml:space="preserve"> at 2</w:t>
      </w:r>
      <w:r w:rsidR="00982591" w:rsidRPr="000F1DE8">
        <w:rPr>
          <w:szCs w:val="24"/>
        </w:rPr>
        <w:t>6-2</w:t>
      </w:r>
      <w:r w:rsidR="00143A14" w:rsidRPr="000F1DE8">
        <w:rPr>
          <w:szCs w:val="24"/>
        </w:rPr>
        <w:t>7.</w:t>
      </w:r>
    </w:p>
    <w:p w14:paraId="34C46BBE" w14:textId="1CAB8C07" w:rsidR="007478A8" w:rsidRPr="000F1DE8" w:rsidRDefault="003E1FD3" w:rsidP="006C7448">
      <w:pPr>
        <w:widowControl w:val="0"/>
        <w:spacing w:line="480" w:lineRule="auto"/>
        <w:ind w:firstLine="720"/>
        <w:jc w:val="both"/>
        <w:rPr>
          <w:szCs w:val="24"/>
        </w:rPr>
      </w:pPr>
      <w:r>
        <w:rPr>
          <w:szCs w:val="24"/>
        </w:rPr>
        <w:t>Like</w:t>
      </w:r>
      <w:r w:rsidR="009C0891" w:rsidRPr="000F1DE8">
        <w:rPr>
          <w:szCs w:val="24"/>
        </w:rPr>
        <w:t xml:space="preserve"> </w:t>
      </w:r>
      <w:r w:rsidR="009C0891" w:rsidRPr="000F1DE8">
        <w:rPr>
          <w:i/>
          <w:iCs/>
          <w:szCs w:val="24"/>
        </w:rPr>
        <w:t>Lucas</w:t>
      </w:r>
      <w:r w:rsidR="009C0891" w:rsidRPr="000F1DE8">
        <w:rPr>
          <w:szCs w:val="24"/>
        </w:rPr>
        <w:t xml:space="preserve">, </w:t>
      </w:r>
      <w:r w:rsidR="002E6242" w:rsidRPr="002E6242">
        <w:rPr>
          <w:i/>
          <w:iCs/>
          <w:szCs w:val="24"/>
        </w:rPr>
        <w:t>Eyebobs</w:t>
      </w:r>
      <w:r w:rsidR="002E6242">
        <w:rPr>
          <w:szCs w:val="24"/>
        </w:rPr>
        <w:t xml:space="preserve">, </w:t>
      </w:r>
      <w:r w:rsidR="002E6242" w:rsidRPr="002E6242">
        <w:rPr>
          <w:i/>
          <w:iCs/>
          <w:szCs w:val="24"/>
        </w:rPr>
        <w:t>Charles Tyrwhitt</w:t>
      </w:r>
      <w:r w:rsidR="002E6242">
        <w:rPr>
          <w:szCs w:val="24"/>
        </w:rPr>
        <w:t xml:space="preserve">, </w:t>
      </w:r>
      <w:r w:rsidR="002E6242" w:rsidRPr="002E6242">
        <w:rPr>
          <w:i/>
          <w:iCs/>
          <w:szCs w:val="24"/>
        </w:rPr>
        <w:t>The Hundreds</w:t>
      </w:r>
      <w:r w:rsidR="002E6242">
        <w:rPr>
          <w:szCs w:val="24"/>
        </w:rPr>
        <w:t xml:space="preserve">, </w:t>
      </w:r>
      <w:r w:rsidR="002E6242" w:rsidRPr="002E6242">
        <w:rPr>
          <w:i/>
          <w:iCs/>
          <w:szCs w:val="24"/>
        </w:rPr>
        <w:t>Optavia</w:t>
      </w:r>
      <w:r w:rsidR="002E6242">
        <w:rPr>
          <w:szCs w:val="24"/>
        </w:rPr>
        <w:t xml:space="preserve">, and </w:t>
      </w:r>
      <w:r w:rsidR="002E6242" w:rsidRPr="002E6242">
        <w:rPr>
          <w:i/>
          <w:iCs/>
          <w:szCs w:val="24"/>
        </w:rPr>
        <w:t>Poly-Wood</w:t>
      </w:r>
      <w:r w:rsidR="002E6242">
        <w:rPr>
          <w:szCs w:val="24"/>
        </w:rPr>
        <w:t xml:space="preserve">, </w:t>
      </w:r>
      <w:r w:rsidR="009C0891" w:rsidRPr="000F1DE8">
        <w:rPr>
          <w:szCs w:val="24"/>
        </w:rPr>
        <w:t xml:space="preserve">the Court should enjoin the pursuit of released claims </w:t>
      </w:r>
      <w:r w:rsidR="0080729E" w:rsidRPr="000F1DE8">
        <w:rPr>
          <w:szCs w:val="24"/>
        </w:rPr>
        <w:t xml:space="preserve">upon </w:t>
      </w:r>
      <w:r w:rsidR="00BA200A" w:rsidRPr="000F1DE8">
        <w:rPr>
          <w:szCs w:val="24"/>
        </w:rPr>
        <w:t xml:space="preserve">final </w:t>
      </w:r>
      <w:r w:rsidR="0080729E" w:rsidRPr="000F1DE8">
        <w:rPr>
          <w:szCs w:val="24"/>
        </w:rPr>
        <w:t>approval</w:t>
      </w:r>
      <w:r w:rsidR="008A52A1" w:rsidRPr="000F1DE8">
        <w:rPr>
          <w:szCs w:val="24"/>
        </w:rPr>
        <w:t xml:space="preserve"> </w:t>
      </w:r>
      <w:r w:rsidR="00AA5C0F" w:rsidRPr="000F1DE8">
        <w:rPr>
          <w:szCs w:val="24"/>
        </w:rPr>
        <w:t>since</w:t>
      </w:r>
      <w:r w:rsidR="009C0891" w:rsidRPr="000F1DE8">
        <w:rPr>
          <w:szCs w:val="24"/>
        </w:rPr>
        <w:t xml:space="preserve"> doing so </w:t>
      </w:r>
      <w:r w:rsidR="0080729E" w:rsidRPr="000F1DE8">
        <w:rPr>
          <w:szCs w:val="24"/>
        </w:rPr>
        <w:t xml:space="preserve">is “necessary or appropriate in aid of [its] jurisdiction[]” and </w:t>
      </w:r>
      <w:r w:rsidR="009C0891" w:rsidRPr="000F1DE8">
        <w:rPr>
          <w:szCs w:val="24"/>
        </w:rPr>
        <w:t xml:space="preserve">“serves the important policy interest of judicial economy by permitting parties to enter into comprehensive settlements that prevent </w:t>
      </w:r>
      <w:proofErr w:type="spellStart"/>
      <w:r w:rsidR="009C0891" w:rsidRPr="000F1DE8">
        <w:rPr>
          <w:szCs w:val="24"/>
        </w:rPr>
        <w:t>relitigation</w:t>
      </w:r>
      <w:proofErr w:type="spellEnd"/>
      <w:r w:rsidR="009C0891" w:rsidRPr="000F1DE8">
        <w:rPr>
          <w:szCs w:val="24"/>
        </w:rPr>
        <w:t xml:space="preserve"> of settled questions at the core of a class action</w:t>
      </w:r>
      <w:r w:rsidR="0080729E" w:rsidRPr="000F1DE8">
        <w:rPr>
          <w:szCs w:val="24"/>
        </w:rPr>
        <w:t>.”</w:t>
      </w:r>
      <w:r w:rsidR="009C0891" w:rsidRPr="000F1DE8">
        <w:rPr>
          <w:szCs w:val="24"/>
        </w:rPr>
        <w:t xml:space="preserve"> </w:t>
      </w:r>
      <w:r w:rsidR="004D3D86" w:rsidRPr="000F1DE8">
        <w:rPr>
          <w:i/>
          <w:iCs/>
          <w:szCs w:val="24"/>
        </w:rPr>
        <w:t xml:space="preserve">In re Prudential Ins. Co. </w:t>
      </w:r>
      <w:r w:rsidR="006A2765" w:rsidRPr="000F1DE8">
        <w:rPr>
          <w:i/>
          <w:iCs/>
          <w:szCs w:val="24"/>
        </w:rPr>
        <w:t>O</w:t>
      </w:r>
      <w:r w:rsidR="004D3D86" w:rsidRPr="000F1DE8">
        <w:rPr>
          <w:i/>
          <w:iCs/>
          <w:szCs w:val="24"/>
        </w:rPr>
        <w:t>f Am. Sales Practice Litig.</w:t>
      </w:r>
      <w:r w:rsidR="009C0891" w:rsidRPr="000F1DE8">
        <w:rPr>
          <w:szCs w:val="24"/>
        </w:rPr>
        <w:t xml:space="preserve">, 261 F.3d </w:t>
      </w:r>
      <w:r w:rsidR="006A2765" w:rsidRPr="000F1DE8">
        <w:rPr>
          <w:szCs w:val="24"/>
        </w:rPr>
        <w:t>355,</w:t>
      </w:r>
      <w:r w:rsidR="009C0891" w:rsidRPr="000F1DE8">
        <w:rPr>
          <w:szCs w:val="24"/>
        </w:rPr>
        <w:t xml:space="preserve"> 36</w:t>
      </w:r>
      <w:r w:rsidR="00D328F6" w:rsidRPr="000F1DE8">
        <w:rPr>
          <w:szCs w:val="24"/>
        </w:rPr>
        <w:t>5</w:t>
      </w:r>
      <w:r w:rsidR="007547CA" w:rsidRPr="000F1DE8">
        <w:rPr>
          <w:szCs w:val="24"/>
        </w:rPr>
        <w:t>-6</w:t>
      </w:r>
      <w:r w:rsidR="009C0891" w:rsidRPr="000F1DE8">
        <w:rPr>
          <w:szCs w:val="24"/>
        </w:rPr>
        <w:t xml:space="preserve">6 </w:t>
      </w:r>
      <w:r w:rsidR="006A2765" w:rsidRPr="000F1DE8">
        <w:rPr>
          <w:szCs w:val="24"/>
        </w:rPr>
        <w:t xml:space="preserve">(3d Cir. 2001) </w:t>
      </w:r>
      <w:r w:rsidR="009C0891" w:rsidRPr="000F1DE8">
        <w:rPr>
          <w:szCs w:val="24"/>
        </w:rPr>
        <w:t>(</w:t>
      </w:r>
      <w:r w:rsidR="009903D4" w:rsidRPr="000F1DE8">
        <w:rPr>
          <w:szCs w:val="24"/>
        </w:rPr>
        <w:t xml:space="preserve">quotations and </w:t>
      </w:r>
      <w:r w:rsidR="007547CA" w:rsidRPr="000F1DE8">
        <w:rPr>
          <w:szCs w:val="24"/>
        </w:rPr>
        <w:t>citations omitted</w:t>
      </w:r>
      <w:r w:rsidR="006A2765" w:rsidRPr="000F1DE8">
        <w:rPr>
          <w:szCs w:val="24"/>
        </w:rPr>
        <w:t>)</w:t>
      </w:r>
      <w:r w:rsidR="005D0BE2" w:rsidRPr="000F1DE8">
        <w:rPr>
          <w:szCs w:val="24"/>
        </w:rPr>
        <w:t>.</w:t>
      </w:r>
    </w:p>
    <w:p w14:paraId="739FC604" w14:textId="5234B428" w:rsidR="00F549C8" w:rsidRPr="008D28DC" w:rsidRDefault="00F549C8" w:rsidP="006C7448">
      <w:pPr>
        <w:pStyle w:val="ListParagraph"/>
        <w:keepNext/>
        <w:widowControl w:val="0"/>
        <w:numPr>
          <w:ilvl w:val="1"/>
          <w:numId w:val="1"/>
        </w:numPr>
        <w:tabs>
          <w:tab w:val="left" w:pos="720"/>
          <w:tab w:val="left" w:pos="1440"/>
          <w:tab w:val="left" w:leader="dot" w:pos="8928"/>
        </w:tabs>
        <w:spacing w:after="240"/>
        <w:ind w:right="720" w:hanging="720"/>
        <w:contextualSpacing w:val="0"/>
        <w:rPr>
          <w:b/>
          <w:bCs/>
          <w:szCs w:val="24"/>
        </w:rPr>
      </w:pPr>
      <w:r w:rsidRPr="008D28DC">
        <w:rPr>
          <w:b/>
          <w:bCs/>
          <w:iCs/>
          <w:szCs w:val="24"/>
        </w:rPr>
        <w:t xml:space="preserve">Additional Obligations </w:t>
      </w:r>
      <w:r w:rsidR="0038007D" w:rsidRPr="008D28DC">
        <w:rPr>
          <w:b/>
          <w:bCs/>
          <w:iCs/>
          <w:szCs w:val="24"/>
        </w:rPr>
        <w:t xml:space="preserve">Of The </w:t>
      </w:r>
      <w:r w:rsidRPr="008D28DC">
        <w:rPr>
          <w:b/>
          <w:bCs/>
          <w:iCs/>
          <w:szCs w:val="24"/>
        </w:rPr>
        <w:t>Parties</w:t>
      </w:r>
    </w:p>
    <w:p w14:paraId="5A625C7E" w14:textId="69D08676" w:rsidR="00F549C8" w:rsidRPr="008D28DC" w:rsidRDefault="00F549C8" w:rsidP="006C7448">
      <w:pPr>
        <w:pStyle w:val="ListParagraph"/>
        <w:keepNext/>
        <w:widowControl w:val="0"/>
        <w:numPr>
          <w:ilvl w:val="2"/>
          <w:numId w:val="1"/>
        </w:numPr>
        <w:spacing w:after="240"/>
        <w:ind w:left="0" w:right="720" w:firstLine="1440"/>
        <w:contextualSpacing w:val="0"/>
        <w:rPr>
          <w:b/>
          <w:bCs/>
          <w:szCs w:val="24"/>
        </w:rPr>
      </w:pPr>
      <w:r w:rsidRPr="008D28DC">
        <w:rPr>
          <w:b/>
          <w:bCs/>
          <w:iCs/>
          <w:szCs w:val="24"/>
        </w:rPr>
        <w:t>Accessibility Training</w:t>
      </w:r>
    </w:p>
    <w:p w14:paraId="605761A2" w14:textId="707F7D82" w:rsidR="00924287" w:rsidRPr="0055423E" w:rsidRDefault="00924287" w:rsidP="006C7448">
      <w:pPr>
        <w:widowControl w:val="0"/>
        <w:spacing w:line="480" w:lineRule="auto"/>
        <w:ind w:firstLine="720"/>
        <w:jc w:val="both"/>
        <w:rPr>
          <w:szCs w:val="24"/>
        </w:rPr>
      </w:pPr>
      <w:r w:rsidRPr="004E0153">
        <w:rPr>
          <w:szCs w:val="24"/>
        </w:rPr>
        <w:t xml:space="preserve">Defendant </w:t>
      </w:r>
      <w:r w:rsidR="00532CE8">
        <w:rPr>
          <w:szCs w:val="24"/>
        </w:rPr>
        <w:t>will</w:t>
      </w:r>
      <w:r w:rsidR="009E44F1" w:rsidRPr="004E0153">
        <w:rPr>
          <w:szCs w:val="24"/>
        </w:rPr>
        <w:t xml:space="preserve"> </w:t>
      </w:r>
      <w:r w:rsidRPr="004E0153">
        <w:rPr>
          <w:szCs w:val="24"/>
        </w:rPr>
        <w:t>train all</w:t>
      </w:r>
      <w:r w:rsidR="0020559D" w:rsidRPr="004E0153">
        <w:rPr>
          <w:szCs w:val="24"/>
        </w:rPr>
        <w:t xml:space="preserve"> </w:t>
      </w:r>
      <w:r w:rsidRPr="004E0153">
        <w:rPr>
          <w:szCs w:val="24"/>
        </w:rPr>
        <w:t xml:space="preserve">employees responsible for website </w:t>
      </w:r>
      <w:r w:rsidR="00504A9F" w:rsidRPr="004E0153">
        <w:rPr>
          <w:szCs w:val="24"/>
        </w:rPr>
        <w:t>and</w:t>
      </w:r>
      <w:r w:rsidR="0020559D" w:rsidRPr="004E0153">
        <w:rPr>
          <w:szCs w:val="24"/>
        </w:rPr>
        <w:t xml:space="preserve"> </w:t>
      </w:r>
      <w:r w:rsidRPr="004E0153">
        <w:rPr>
          <w:szCs w:val="24"/>
        </w:rPr>
        <w:t xml:space="preserve">mobile application design, development, </w:t>
      </w:r>
      <w:r w:rsidR="00504A9F" w:rsidRPr="004E0153">
        <w:rPr>
          <w:szCs w:val="24"/>
        </w:rPr>
        <w:t>and</w:t>
      </w:r>
      <w:r w:rsidR="0020559D" w:rsidRPr="004E0153">
        <w:rPr>
          <w:szCs w:val="24"/>
        </w:rPr>
        <w:t xml:space="preserve"> </w:t>
      </w:r>
      <w:r w:rsidRPr="004E0153">
        <w:rPr>
          <w:szCs w:val="24"/>
        </w:rPr>
        <w:t>maintenance to ensure</w:t>
      </w:r>
      <w:r w:rsidR="0020559D" w:rsidRPr="004E0153">
        <w:rPr>
          <w:szCs w:val="24"/>
        </w:rPr>
        <w:t xml:space="preserve"> the</w:t>
      </w:r>
      <w:r w:rsidRPr="004E0153">
        <w:rPr>
          <w:szCs w:val="24"/>
        </w:rPr>
        <w:t xml:space="preserve"> future design, development, and maintenance of the Digital Properties are and remain Accessible. </w:t>
      </w:r>
      <w:r w:rsidR="0020559D" w:rsidRPr="004E0153">
        <w:rPr>
          <w:szCs w:val="24"/>
        </w:rPr>
        <w:t>(</w:t>
      </w:r>
      <w:r w:rsidR="00504A9F" w:rsidRPr="004E0153">
        <w:rPr>
          <w:szCs w:val="24"/>
        </w:rPr>
        <w:t>Ex. 1</w:t>
      </w:r>
      <w:r w:rsidRPr="004E0153">
        <w:rPr>
          <w:szCs w:val="24"/>
        </w:rPr>
        <w:t>, § 1</w:t>
      </w:r>
      <w:r w:rsidR="00504A9F" w:rsidRPr="004E0153">
        <w:rPr>
          <w:szCs w:val="24"/>
        </w:rPr>
        <w:t>1</w:t>
      </w:r>
      <w:r w:rsidRPr="004E0153">
        <w:rPr>
          <w:szCs w:val="24"/>
        </w:rPr>
        <w:t>.1.</w:t>
      </w:r>
      <w:r w:rsidR="0020559D" w:rsidRPr="004E0153">
        <w:rPr>
          <w:szCs w:val="24"/>
        </w:rPr>
        <w:t>)</w:t>
      </w:r>
      <w:r w:rsidRPr="004E0153">
        <w:rPr>
          <w:szCs w:val="24"/>
        </w:rPr>
        <w:t xml:space="preserve"> Defendant </w:t>
      </w:r>
      <w:r w:rsidR="009E44F1" w:rsidRPr="004E0153">
        <w:rPr>
          <w:szCs w:val="24"/>
        </w:rPr>
        <w:t xml:space="preserve">will </w:t>
      </w:r>
      <w:r w:rsidR="00DC50CA" w:rsidRPr="004E0153">
        <w:rPr>
          <w:szCs w:val="24"/>
        </w:rPr>
        <w:t xml:space="preserve">also </w:t>
      </w:r>
      <w:r w:rsidRPr="004E0153">
        <w:rPr>
          <w:szCs w:val="24"/>
        </w:rPr>
        <w:t xml:space="preserve">provide training to new hires within </w:t>
      </w:r>
      <w:r w:rsidR="00861C1B" w:rsidRPr="004E0153">
        <w:rPr>
          <w:szCs w:val="24"/>
        </w:rPr>
        <w:t>180</w:t>
      </w:r>
      <w:r w:rsidR="00875314" w:rsidRPr="004E0153">
        <w:rPr>
          <w:szCs w:val="24"/>
        </w:rPr>
        <w:t xml:space="preserve"> </w:t>
      </w:r>
      <w:r w:rsidRPr="004E0153">
        <w:rPr>
          <w:szCs w:val="24"/>
        </w:rPr>
        <w:t>days</w:t>
      </w:r>
      <w:r w:rsidR="00875314" w:rsidRPr="004E0153">
        <w:rPr>
          <w:szCs w:val="24"/>
        </w:rPr>
        <w:t>,</w:t>
      </w:r>
      <w:r w:rsidRPr="004E0153">
        <w:rPr>
          <w:szCs w:val="24"/>
        </w:rPr>
        <w:t xml:space="preserve"> and </w:t>
      </w:r>
      <w:r w:rsidR="00532CE8" w:rsidRPr="004E0153">
        <w:rPr>
          <w:szCs w:val="24"/>
        </w:rPr>
        <w:t xml:space="preserve">refresher </w:t>
      </w:r>
      <w:r w:rsidRPr="004E0153">
        <w:rPr>
          <w:szCs w:val="24"/>
        </w:rPr>
        <w:t>training</w:t>
      </w:r>
      <w:r w:rsidR="00532CE8">
        <w:rPr>
          <w:szCs w:val="24"/>
        </w:rPr>
        <w:t xml:space="preserve"> on an annual basis</w:t>
      </w:r>
      <w:r w:rsidR="00AF0ADC" w:rsidRPr="004E0153">
        <w:rPr>
          <w:szCs w:val="24"/>
        </w:rPr>
        <w:t xml:space="preserve">. </w:t>
      </w:r>
      <w:r w:rsidR="00875314" w:rsidRPr="004E0153">
        <w:rPr>
          <w:szCs w:val="24"/>
        </w:rPr>
        <w:t>(</w:t>
      </w:r>
      <w:r w:rsidR="00875314" w:rsidRPr="004E0153">
        <w:rPr>
          <w:i/>
          <w:iCs/>
          <w:szCs w:val="24"/>
        </w:rPr>
        <w:t>Id</w:t>
      </w:r>
      <w:r w:rsidR="00875314" w:rsidRPr="004E0153">
        <w:rPr>
          <w:szCs w:val="24"/>
        </w:rPr>
        <w:t xml:space="preserve">., </w:t>
      </w:r>
      <w:r w:rsidR="00AF0ADC" w:rsidRPr="004E0153">
        <w:rPr>
          <w:szCs w:val="24"/>
        </w:rPr>
        <w:t>§§ 1</w:t>
      </w:r>
      <w:r w:rsidR="004E0153" w:rsidRPr="004E0153">
        <w:rPr>
          <w:szCs w:val="24"/>
        </w:rPr>
        <w:t>1</w:t>
      </w:r>
      <w:r w:rsidR="00AF0ADC" w:rsidRPr="004E0153">
        <w:rPr>
          <w:szCs w:val="24"/>
        </w:rPr>
        <w:t>.3</w:t>
      </w:r>
      <w:r w:rsidR="00875314" w:rsidRPr="004E0153">
        <w:rPr>
          <w:szCs w:val="24"/>
        </w:rPr>
        <w:t xml:space="preserve">, </w:t>
      </w:r>
      <w:r w:rsidR="00AF0ADC" w:rsidRPr="004E0153">
        <w:rPr>
          <w:szCs w:val="24"/>
        </w:rPr>
        <w:t>1</w:t>
      </w:r>
      <w:r w:rsidR="004E0153" w:rsidRPr="004E0153">
        <w:rPr>
          <w:szCs w:val="24"/>
        </w:rPr>
        <w:t>1</w:t>
      </w:r>
      <w:r w:rsidR="00AF0ADC" w:rsidRPr="004E0153">
        <w:rPr>
          <w:szCs w:val="24"/>
        </w:rPr>
        <w:t>.4.</w:t>
      </w:r>
      <w:r w:rsidR="00875314" w:rsidRPr="004E0153">
        <w:rPr>
          <w:szCs w:val="24"/>
        </w:rPr>
        <w:t>)</w:t>
      </w:r>
    </w:p>
    <w:p w14:paraId="7C56C399" w14:textId="7D48836C" w:rsidR="00F549C8" w:rsidRPr="0055423E" w:rsidRDefault="0038007D" w:rsidP="006C7448">
      <w:pPr>
        <w:pStyle w:val="ListParagraph"/>
        <w:keepNext/>
        <w:widowControl w:val="0"/>
        <w:numPr>
          <w:ilvl w:val="2"/>
          <w:numId w:val="1"/>
        </w:numPr>
        <w:spacing w:after="240"/>
        <w:ind w:left="0" w:right="720" w:firstLine="1440"/>
        <w:contextualSpacing w:val="0"/>
        <w:rPr>
          <w:b/>
          <w:bCs/>
          <w:szCs w:val="24"/>
        </w:rPr>
      </w:pPr>
      <w:r w:rsidRPr="0055423E">
        <w:rPr>
          <w:b/>
          <w:bCs/>
          <w:iCs/>
          <w:szCs w:val="24"/>
        </w:rPr>
        <w:t>Defendant’s Reporting Obligations</w:t>
      </w:r>
    </w:p>
    <w:p w14:paraId="7C588286" w14:textId="2484BA32" w:rsidR="00AF0ADC" w:rsidRPr="0055423E" w:rsidRDefault="0028278E" w:rsidP="006C7448">
      <w:pPr>
        <w:widowControl w:val="0"/>
        <w:spacing w:line="480" w:lineRule="auto"/>
        <w:ind w:firstLine="720"/>
        <w:jc w:val="both"/>
        <w:rPr>
          <w:szCs w:val="24"/>
        </w:rPr>
      </w:pPr>
      <w:r w:rsidRPr="0055423E">
        <w:rPr>
          <w:szCs w:val="24"/>
        </w:rPr>
        <w:t>To help ensure compliance</w:t>
      </w:r>
      <w:r w:rsidR="00CD7D11" w:rsidRPr="0055423E">
        <w:rPr>
          <w:szCs w:val="24"/>
        </w:rPr>
        <w:t xml:space="preserve"> with the Agreement</w:t>
      </w:r>
      <w:r w:rsidRPr="0055423E">
        <w:rPr>
          <w:szCs w:val="24"/>
        </w:rPr>
        <w:t>, t</w:t>
      </w:r>
      <w:r w:rsidR="00AF0ADC" w:rsidRPr="0055423E">
        <w:rPr>
          <w:szCs w:val="24"/>
        </w:rPr>
        <w:t>he Agreement</w:t>
      </w:r>
      <w:r w:rsidR="001774CB" w:rsidRPr="0055423E">
        <w:rPr>
          <w:szCs w:val="24"/>
        </w:rPr>
        <w:t xml:space="preserve"> </w:t>
      </w:r>
      <w:r w:rsidR="00AF0ADC" w:rsidRPr="0055423E">
        <w:rPr>
          <w:szCs w:val="24"/>
        </w:rPr>
        <w:t xml:space="preserve">requires periodic reporting by Defendant to </w:t>
      </w:r>
      <w:r w:rsidR="009F5DC8">
        <w:rPr>
          <w:szCs w:val="24"/>
        </w:rPr>
        <w:t>c</w:t>
      </w:r>
      <w:r w:rsidR="001774CB" w:rsidRPr="0055423E">
        <w:rPr>
          <w:szCs w:val="24"/>
        </w:rPr>
        <w:t xml:space="preserve">lass </w:t>
      </w:r>
      <w:r w:rsidR="009F5DC8">
        <w:rPr>
          <w:szCs w:val="24"/>
        </w:rPr>
        <w:t>c</w:t>
      </w:r>
      <w:r w:rsidR="001774CB" w:rsidRPr="0055423E">
        <w:rPr>
          <w:szCs w:val="24"/>
        </w:rPr>
        <w:t>ounsel</w:t>
      </w:r>
      <w:r w:rsidR="00AF0ADC" w:rsidRPr="0055423E">
        <w:rPr>
          <w:szCs w:val="24"/>
        </w:rPr>
        <w:t xml:space="preserve">. </w:t>
      </w:r>
      <w:r w:rsidR="006046CA" w:rsidRPr="0055423E">
        <w:rPr>
          <w:szCs w:val="24"/>
        </w:rPr>
        <w:t>Below is a summary of th</w:t>
      </w:r>
      <w:r w:rsidRPr="0055423E">
        <w:rPr>
          <w:szCs w:val="24"/>
        </w:rPr>
        <w:t>ese</w:t>
      </w:r>
      <w:r w:rsidR="006046CA" w:rsidRPr="0055423E">
        <w:rPr>
          <w:szCs w:val="24"/>
        </w:rPr>
        <w:t xml:space="preserve"> reporting obligation</w:t>
      </w:r>
      <w:r w:rsidRPr="0055423E">
        <w:rPr>
          <w:szCs w:val="24"/>
        </w:rPr>
        <w:t>s</w:t>
      </w:r>
      <w:r w:rsidR="006046CA" w:rsidRPr="0055423E">
        <w:rPr>
          <w:szCs w:val="24"/>
        </w:rPr>
        <w:t>.</w:t>
      </w:r>
    </w:p>
    <w:tbl>
      <w:tblPr>
        <w:tblStyle w:val="TableGrid"/>
        <w:tblW w:w="0" w:type="auto"/>
        <w:tblInd w:w="-5" w:type="dxa"/>
        <w:tblLook w:val="04A0" w:firstRow="1" w:lastRow="0" w:firstColumn="1" w:lastColumn="0" w:noHBand="0" w:noVBand="1"/>
      </w:tblPr>
      <w:tblGrid>
        <w:gridCol w:w="3600"/>
        <w:gridCol w:w="3330"/>
        <w:gridCol w:w="2425"/>
      </w:tblGrid>
      <w:tr w:rsidR="00F40D5B" w:rsidRPr="00662BD5" w14:paraId="5967F9BB" w14:textId="77777777" w:rsidTr="00FF1350">
        <w:tc>
          <w:tcPr>
            <w:tcW w:w="3600" w:type="dxa"/>
            <w:shd w:val="clear" w:color="auto" w:fill="D9E2F3" w:themeFill="accent1" w:themeFillTint="33"/>
            <w:vAlign w:val="center"/>
          </w:tcPr>
          <w:p w14:paraId="6D2C1770" w14:textId="77777777" w:rsidR="00861C1B" w:rsidRPr="0055423E" w:rsidRDefault="00861C1B" w:rsidP="006C7448">
            <w:pPr>
              <w:pStyle w:val="ListParagraph"/>
              <w:spacing w:beforeLines="20" w:before="48" w:afterLines="20" w:after="48"/>
              <w:ind w:left="0"/>
              <w:contextualSpacing w:val="0"/>
              <w:jc w:val="center"/>
              <w:rPr>
                <w:szCs w:val="24"/>
              </w:rPr>
            </w:pPr>
            <w:r w:rsidRPr="0055423E">
              <w:rPr>
                <w:szCs w:val="24"/>
              </w:rPr>
              <w:t>Information</w:t>
            </w:r>
          </w:p>
        </w:tc>
        <w:tc>
          <w:tcPr>
            <w:tcW w:w="3330" w:type="dxa"/>
            <w:shd w:val="clear" w:color="auto" w:fill="D9E2F3" w:themeFill="accent1" w:themeFillTint="33"/>
            <w:vAlign w:val="center"/>
          </w:tcPr>
          <w:p w14:paraId="4F8C156E" w14:textId="77777777" w:rsidR="00861C1B" w:rsidRPr="0055423E" w:rsidRDefault="00861C1B" w:rsidP="006C7448">
            <w:pPr>
              <w:pStyle w:val="ListParagraph"/>
              <w:spacing w:beforeLines="20" w:before="48" w:afterLines="20" w:after="48"/>
              <w:ind w:left="0"/>
              <w:contextualSpacing w:val="0"/>
              <w:jc w:val="center"/>
              <w:rPr>
                <w:szCs w:val="24"/>
              </w:rPr>
            </w:pPr>
            <w:r w:rsidRPr="0055423E">
              <w:rPr>
                <w:szCs w:val="24"/>
              </w:rPr>
              <w:t>Deadline</w:t>
            </w:r>
          </w:p>
        </w:tc>
        <w:tc>
          <w:tcPr>
            <w:tcW w:w="2425" w:type="dxa"/>
            <w:shd w:val="clear" w:color="auto" w:fill="D9E2F3" w:themeFill="accent1" w:themeFillTint="33"/>
            <w:vAlign w:val="center"/>
          </w:tcPr>
          <w:p w14:paraId="4736E52C" w14:textId="065023C0" w:rsidR="00991599" w:rsidRPr="0055423E" w:rsidRDefault="0055423E" w:rsidP="006C7448">
            <w:pPr>
              <w:pStyle w:val="ListParagraph"/>
              <w:spacing w:beforeLines="20" w:before="48" w:afterLines="20" w:after="48"/>
              <w:ind w:left="0"/>
              <w:contextualSpacing w:val="0"/>
              <w:jc w:val="center"/>
              <w:rPr>
                <w:szCs w:val="24"/>
              </w:rPr>
            </w:pPr>
            <w:r w:rsidRPr="0055423E">
              <w:rPr>
                <w:szCs w:val="24"/>
              </w:rPr>
              <w:t>Section(s) of</w:t>
            </w:r>
          </w:p>
          <w:p w14:paraId="4C1EEC9C" w14:textId="22FCF536" w:rsidR="00861C1B" w:rsidRPr="0055423E" w:rsidRDefault="00075C2C" w:rsidP="006C7448">
            <w:pPr>
              <w:pStyle w:val="ListParagraph"/>
              <w:spacing w:beforeLines="20" w:before="48" w:afterLines="20" w:after="48"/>
              <w:ind w:left="0"/>
              <w:contextualSpacing w:val="0"/>
              <w:jc w:val="center"/>
              <w:rPr>
                <w:szCs w:val="24"/>
              </w:rPr>
            </w:pPr>
            <w:r w:rsidRPr="0055423E">
              <w:rPr>
                <w:szCs w:val="24"/>
              </w:rPr>
              <w:t>Settlement Agreement</w:t>
            </w:r>
          </w:p>
        </w:tc>
      </w:tr>
      <w:tr w:rsidR="00861C1B" w:rsidRPr="00662BD5" w14:paraId="2C81474E" w14:textId="77777777" w:rsidTr="00FF1350">
        <w:tc>
          <w:tcPr>
            <w:tcW w:w="3600" w:type="dxa"/>
            <w:vAlign w:val="center"/>
          </w:tcPr>
          <w:p w14:paraId="3B0BEA16" w14:textId="10007B12" w:rsidR="00861C1B" w:rsidRPr="002A222C" w:rsidRDefault="00861C1B" w:rsidP="006C7448">
            <w:pPr>
              <w:pStyle w:val="ListParagraph"/>
              <w:spacing w:beforeLines="20" w:before="48" w:afterLines="20" w:after="48"/>
              <w:ind w:left="0"/>
              <w:contextualSpacing w:val="0"/>
              <w:jc w:val="center"/>
              <w:rPr>
                <w:szCs w:val="24"/>
              </w:rPr>
            </w:pPr>
            <w:r w:rsidRPr="002A222C">
              <w:rPr>
                <w:szCs w:val="24"/>
              </w:rPr>
              <w:t xml:space="preserve">Third-Party Content </w:t>
            </w:r>
            <w:r w:rsidR="00D447D4" w:rsidRPr="002A222C">
              <w:rPr>
                <w:szCs w:val="24"/>
              </w:rPr>
              <w:t xml:space="preserve">Defendant </w:t>
            </w:r>
            <w:r w:rsidRPr="002A222C">
              <w:rPr>
                <w:szCs w:val="24"/>
              </w:rPr>
              <w:t>cannot confirm is Accessible</w:t>
            </w:r>
          </w:p>
        </w:tc>
        <w:tc>
          <w:tcPr>
            <w:tcW w:w="3330" w:type="dxa"/>
            <w:vAlign w:val="center"/>
          </w:tcPr>
          <w:p w14:paraId="53202B21" w14:textId="3A80ACCF" w:rsidR="00861C1B" w:rsidRPr="002A222C" w:rsidRDefault="00861C1B" w:rsidP="006C7448">
            <w:pPr>
              <w:pStyle w:val="ListParagraph"/>
              <w:spacing w:beforeLines="20" w:before="48" w:afterLines="20" w:after="48"/>
              <w:ind w:left="0"/>
              <w:contextualSpacing w:val="0"/>
              <w:jc w:val="center"/>
              <w:rPr>
                <w:szCs w:val="24"/>
              </w:rPr>
            </w:pPr>
            <w:r w:rsidRPr="002A222C">
              <w:rPr>
                <w:szCs w:val="24"/>
              </w:rPr>
              <w:t xml:space="preserve">To be included in </w:t>
            </w:r>
            <w:r w:rsidR="002A2F83" w:rsidRPr="002A222C">
              <w:rPr>
                <w:szCs w:val="24"/>
              </w:rPr>
              <w:br/>
            </w:r>
            <w:r w:rsidRPr="002A222C">
              <w:rPr>
                <w:szCs w:val="24"/>
              </w:rPr>
              <w:t>Annual Report</w:t>
            </w:r>
          </w:p>
        </w:tc>
        <w:tc>
          <w:tcPr>
            <w:tcW w:w="2425" w:type="dxa"/>
            <w:vAlign w:val="center"/>
          </w:tcPr>
          <w:p w14:paraId="1423625D" w14:textId="64EC8A9F" w:rsidR="00861C1B" w:rsidRPr="002A222C" w:rsidRDefault="002A222C" w:rsidP="006C7448">
            <w:pPr>
              <w:pStyle w:val="ListParagraph"/>
              <w:spacing w:beforeLines="20" w:before="48" w:afterLines="20" w:after="48"/>
              <w:ind w:left="0"/>
              <w:contextualSpacing w:val="0"/>
              <w:jc w:val="center"/>
              <w:rPr>
                <w:szCs w:val="24"/>
              </w:rPr>
            </w:pPr>
            <w:r w:rsidRPr="002A222C">
              <w:rPr>
                <w:szCs w:val="24"/>
              </w:rPr>
              <w:t>5</w:t>
            </w:r>
            <w:r w:rsidR="00861C1B" w:rsidRPr="002A222C">
              <w:rPr>
                <w:szCs w:val="24"/>
              </w:rPr>
              <w:t>.3</w:t>
            </w:r>
          </w:p>
        </w:tc>
      </w:tr>
      <w:tr w:rsidR="00861C1B" w:rsidRPr="00662BD5" w14:paraId="7F90E2C9" w14:textId="77777777" w:rsidTr="00FF1350">
        <w:tc>
          <w:tcPr>
            <w:tcW w:w="3600" w:type="dxa"/>
            <w:vAlign w:val="center"/>
          </w:tcPr>
          <w:p w14:paraId="769933AE" w14:textId="047BD5B9" w:rsidR="00861C1B" w:rsidRPr="003E1885" w:rsidRDefault="00861C1B" w:rsidP="006C7448">
            <w:pPr>
              <w:pStyle w:val="ListParagraph"/>
              <w:spacing w:beforeLines="20" w:before="48" w:afterLines="20" w:after="48"/>
              <w:ind w:left="0"/>
              <w:contextualSpacing w:val="0"/>
              <w:jc w:val="center"/>
              <w:rPr>
                <w:szCs w:val="24"/>
              </w:rPr>
            </w:pPr>
            <w:r w:rsidRPr="003E1885">
              <w:rPr>
                <w:szCs w:val="24"/>
              </w:rPr>
              <w:lastRenderedPageBreak/>
              <w:t xml:space="preserve">Confirmation </w:t>
            </w:r>
            <w:r w:rsidR="003E1885" w:rsidRPr="003E1885">
              <w:rPr>
                <w:szCs w:val="24"/>
              </w:rPr>
              <w:t>of</w:t>
            </w:r>
            <w:r w:rsidR="003E1885" w:rsidRPr="003E1885">
              <w:rPr>
                <w:szCs w:val="24"/>
              </w:rPr>
              <w:br/>
              <w:t>D</w:t>
            </w:r>
            <w:r w:rsidR="00D447D4" w:rsidRPr="003E1885">
              <w:rPr>
                <w:szCs w:val="24"/>
              </w:rPr>
              <w:t>efendant</w:t>
            </w:r>
            <w:r w:rsidR="003E1885" w:rsidRPr="003E1885">
              <w:rPr>
                <w:szCs w:val="24"/>
              </w:rPr>
              <w:t xml:space="preserve">’s </w:t>
            </w:r>
            <w:r w:rsidRPr="003E1885">
              <w:rPr>
                <w:szCs w:val="24"/>
              </w:rPr>
              <w:t>designat</w:t>
            </w:r>
            <w:r w:rsidR="003E1885" w:rsidRPr="003E1885">
              <w:rPr>
                <w:szCs w:val="24"/>
              </w:rPr>
              <w:t>ion of</w:t>
            </w:r>
            <w:r w:rsidR="003E1885" w:rsidRPr="003E1885">
              <w:rPr>
                <w:szCs w:val="24"/>
              </w:rPr>
              <w:br/>
            </w:r>
            <w:r w:rsidRPr="003E1885">
              <w:rPr>
                <w:szCs w:val="24"/>
              </w:rPr>
              <w:t>Accessibility Coordination Team</w:t>
            </w:r>
          </w:p>
        </w:tc>
        <w:tc>
          <w:tcPr>
            <w:tcW w:w="3330" w:type="dxa"/>
            <w:vAlign w:val="center"/>
          </w:tcPr>
          <w:p w14:paraId="6E608AD3" w14:textId="1706651F" w:rsidR="00861C1B" w:rsidRPr="003E1885" w:rsidRDefault="00422AB7" w:rsidP="006C7448">
            <w:pPr>
              <w:pStyle w:val="ListParagraph"/>
              <w:spacing w:beforeLines="20" w:before="48" w:afterLines="20" w:after="48"/>
              <w:ind w:left="0"/>
              <w:contextualSpacing w:val="0"/>
              <w:jc w:val="center"/>
              <w:rPr>
                <w:szCs w:val="24"/>
              </w:rPr>
            </w:pPr>
            <w:r w:rsidRPr="003E1885">
              <w:rPr>
                <w:szCs w:val="24"/>
              </w:rPr>
              <w:t xml:space="preserve">Within </w:t>
            </w:r>
            <w:r w:rsidR="00861C1B" w:rsidRPr="003E1885">
              <w:rPr>
                <w:szCs w:val="24"/>
              </w:rPr>
              <w:t xml:space="preserve">3 months of </w:t>
            </w:r>
            <w:r w:rsidR="003C0D39" w:rsidRPr="003E1885">
              <w:rPr>
                <w:szCs w:val="24"/>
              </w:rPr>
              <w:br/>
            </w:r>
            <w:r w:rsidR="00861C1B" w:rsidRPr="003E1885">
              <w:rPr>
                <w:szCs w:val="24"/>
              </w:rPr>
              <w:t>Effective Date</w:t>
            </w:r>
          </w:p>
        </w:tc>
        <w:tc>
          <w:tcPr>
            <w:tcW w:w="2425" w:type="dxa"/>
            <w:vAlign w:val="center"/>
          </w:tcPr>
          <w:p w14:paraId="08BAC128" w14:textId="2AFFAAA0" w:rsidR="00861C1B" w:rsidRPr="003E1885" w:rsidRDefault="003E1885" w:rsidP="006C7448">
            <w:pPr>
              <w:pStyle w:val="ListParagraph"/>
              <w:spacing w:beforeLines="20" w:before="48" w:afterLines="20" w:after="48"/>
              <w:ind w:left="0"/>
              <w:contextualSpacing w:val="0"/>
              <w:jc w:val="center"/>
              <w:rPr>
                <w:szCs w:val="24"/>
              </w:rPr>
            </w:pPr>
            <w:r w:rsidRPr="003E1885">
              <w:rPr>
                <w:szCs w:val="24"/>
              </w:rPr>
              <w:t>6</w:t>
            </w:r>
            <w:r w:rsidR="00861C1B" w:rsidRPr="003E1885">
              <w:rPr>
                <w:szCs w:val="24"/>
              </w:rPr>
              <w:t>.1</w:t>
            </w:r>
          </w:p>
        </w:tc>
      </w:tr>
      <w:tr w:rsidR="00861C1B" w:rsidRPr="00662BD5" w14:paraId="4C84EA66" w14:textId="77777777" w:rsidTr="00FF1350">
        <w:tc>
          <w:tcPr>
            <w:tcW w:w="3600" w:type="dxa"/>
            <w:vAlign w:val="center"/>
          </w:tcPr>
          <w:p w14:paraId="74592F41" w14:textId="5ABED548" w:rsidR="00861C1B" w:rsidRPr="009D4283" w:rsidRDefault="00861C1B" w:rsidP="006C7448">
            <w:pPr>
              <w:pStyle w:val="ListParagraph"/>
              <w:spacing w:beforeLines="20" w:before="48" w:afterLines="20" w:after="48"/>
              <w:ind w:left="0"/>
              <w:contextualSpacing w:val="0"/>
              <w:jc w:val="center"/>
              <w:rPr>
                <w:szCs w:val="24"/>
              </w:rPr>
            </w:pPr>
            <w:r w:rsidRPr="009D4283">
              <w:rPr>
                <w:szCs w:val="24"/>
              </w:rPr>
              <w:t xml:space="preserve">Confirmation </w:t>
            </w:r>
            <w:r w:rsidR="009D4283" w:rsidRPr="009D4283">
              <w:rPr>
                <w:szCs w:val="24"/>
              </w:rPr>
              <w:t>of</w:t>
            </w:r>
            <w:r w:rsidR="009D4283" w:rsidRPr="009D4283">
              <w:rPr>
                <w:szCs w:val="24"/>
              </w:rPr>
              <w:br/>
            </w:r>
            <w:r w:rsidR="00D447D4" w:rsidRPr="009D4283">
              <w:rPr>
                <w:szCs w:val="24"/>
              </w:rPr>
              <w:t>Defendant</w:t>
            </w:r>
            <w:r w:rsidR="009D4283" w:rsidRPr="009D4283">
              <w:rPr>
                <w:szCs w:val="24"/>
              </w:rPr>
              <w:t>’s</w:t>
            </w:r>
            <w:r w:rsidRPr="009D4283">
              <w:rPr>
                <w:szCs w:val="24"/>
              </w:rPr>
              <w:t xml:space="preserve"> </w:t>
            </w:r>
            <w:r w:rsidR="009D4283" w:rsidRPr="009D4283">
              <w:rPr>
                <w:szCs w:val="24"/>
              </w:rPr>
              <w:t xml:space="preserve">appointment of </w:t>
            </w:r>
            <w:r w:rsidRPr="009D4283">
              <w:rPr>
                <w:szCs w:val="24"/>
              </w:rPr>
              <w:t>Accessibility Consultant</w:t>
            </w:r>
          </w:p>
        </w:tc>
        <w:tc>
          <w:tcPr>
            <w:tcW w:w="3330" w:type="dxa"/>
            <w:vAlign w:val="center"/>
          </w:tcPr>
          <w:p w14:paraId="1C76C2BB" w14:textId="56002A92" w:rsidR="00861C1B" w:rsidRPr="009D4283" w:rsidRDefault="00422AB7" w:rsidP="006C7448">
            <w:pPr>
              <w:pStyle w:val="ListParagraph"/>
              <w:spacing w:beforeLines="20" w:before="48" w:afterLines="20" w:after="48"/>
              <w:ind w:left="0"/>
              <w:contextualSpacing w:val="0"/>
              <w:jc w:val="center"/>
              <w:rPr>
                <w:szCs w:val="24"/>
              </w:rPr>
            </w:pPr>
            <w:r w:rsidRPr="009D4283">
              <w:rPr>
                <w:szCs w:val="24"/>
              </w:rPr>
              <w:t xml:space="preserve">Within </w:t>
            </w:r>
            <w:r w:rsidR="00861C1B" w:rsidRPr="009D4283">
              <w:rPr>
                <w:szCs w:val="24"/>
              </w:rPr>
              <w:t>6 months of</w:t>
            </w:r>
            <w:r w:rsidR="004566F6" w:rsidRPr="009D4283">
              <w:rPr>
                <w:szCs w:val="24"/>
              </w:rPr>
              <w:t xml:space="preserve"> </w:t>
            </w:r>
            <w:r w:rsidR="004566F6" w:rsidRPr="009D4283">
              <w:rPr>
                <w:szCs w:val="24"/>
              </w:rPr>
              <w:br/>
            </w:r>
            <w:r w:rsidR="00861C1B" w:rsidRPr="009D4283">
              <w:rPr>
                <w:szCs w:val="24"/>
              </w:rPr>
              <w:t>Effective Date</w:t>
            </w:r>
          </w:p>
        </w:tc>
        <w:tc>
          <w:tcPr>
            <w:tcW w:w="2425" w:type="dxa"/>
            <w:vAlign w:val="center"/>
          </w:tcPr>
          <w:p w14:paraId="13194BFD" w14:textId="1B42E1A0" w:rsidR="00861C1B" w:rsidRPr="009D4283" w:rsidRDefault="009D4283" w:rsidP="006C7448">
            <w:pPr>
              <w:pStyle w:val="ListParagraph"/>
              <w:spacing w:beforeLines="20" w:before="48" w:afterLines="20" w:after="48"/>
              <w:ind w:left="0"/>
              <w:contextualSpacing w:val="0"/>
              <w:jc w:val="center"/>
              <w:rPr>
                <w:szCs w:val="24"/>
              </w:rPr>
            </w:pPr>
            <w:r w:rsidRPr="009D4283">
              <w:rPr>
                <w:szCs w:val="24"/>
              </w:rPr>
              <w:t>7</w:t>
            </w:r>
            <w:r w:rsidR="00861C1B" w:rsidRPr="009D4283">
              <w:rPr>
                <w:szCs w:val="24"/>
              </w:rPr>
              <w:t>.1</w:t>
            </w:r>
          </w:p>
        </w:tc>
      </w:tr>
      <w:tr w:rsidR="00861C1B" w:rsidRPr="00662BD5" w14:paraId="6AD56299" w14:textId="77777777" w:rsidTr="00FF1350">
        <w:tc>
          <w:tcPr>
            <w:tcW w:w="3600" w:type="dxa"/>
            <w:shd w:val="clear" w:color="auto" w:fill="auto"/>
            <w:vAlign w:val="center"/>
          </w:tcPr>
          <w:p w14:paraId="22211B74" w14:textId="20BFB16B" w:rsidR="00861C1B" w:rsidRPr="002B4DD9" w:rsidRDefault="002B4DD9" w:rsidP="002B4DD9">
            <w:pPr>
              <w:pStyle w:val="ListParagraph"/>
              <w:spacing w:beforeLines="20" w:before="48" w:afterLines="20" w:after="48"/>
              <w:ind w:left="0"/>
              <w:contextualSpacing w:val="0"/>
              <w:jc w:val="center"/>
              <w:rPr>
                <w:szCs w:val="24"/>
              </w:rPr>
            </w:pPr>
            <w:r w:rsidRPr="002B4DD9">
              <w:rPr>
                <w:szCs w:val="24"/>
              </w:rPr>
              <w:t>Accessibility Consultant’s</w:t>
            </w:r>
            <w:r w:rsidRPr="002B4DD9">
              <w:rPr>
                <w:szCs w:val="24"/>
              </w:rPr>
              <w:br/>
            </w:r>
            <w:r w:rsidR="00646007">
              <w:rPr>
                <w:szCs w:val="24"/>
              </w:rPr>
              <w:t xml:space="preserve">Letter of Reasonable Accessibility and </w:t>
            </w:r>
            <w:r w:rsidR="00861C1B" w:rsidRPr="002B4DD9">
              <w:rPr>
                <w:szCs w:val="24"/>
              </w:rPr>
              <w:t>Status Report</w:t>
            </w:r>
          </w:p>
        </w:tc>
        <w:tc>
          <w:tcPr>
            <w:tcW w:w="3330" w:type="dxa"/>
            <w:vAlign w:val="center"/>
          </w:tcPr>
          <w:p w14:paraId="6B270728" w14:textId="6195AEF6" w:rsidR="00861C1B" w:rsidRPr="002B4DD9" w:rsidRDefault="00861C1B" w:rsidP="006C7448">
            <w:pPr>
              <w:pStyle w:val="ListParagraph"/>
              <w:spacing w:beforeLines="20" w:before="48" w:afterLines="20" w:after="48"/>
              <w:ind w:left="0"/>
              <w:contextualSpacing w:val="0"/>
              <w:jc w:val="center"/>
              <w:rPr>
                <w:szCs w:val="24"/>
              </w:rPr>
            </w:pPr>
            <w:r w:rsidRPr="002B4DD9">
              <w:rPr>
                <w:szCs w:val="24"/>
              </w:rPr>
              <w:t xml:space="preserve">To be included </w:t>
            </w:r>
            <w:r w:rsidR="00991599" w:rsidRPr="002B4DD9">
              <w:rPr>
                <w:szCs w:val="24"/>
              </w:rPr>
              <w:t>as</w:t>
            </w:r>
            <w:r w:rsidR="002B4DD9" w:rsidRPr="002B4DD9">
              <w:rPr>
                <w:szCs w:val="24"/>
              </w:rPr>
              <w:t xml:space="preserve"> </w:t>
            </w:r>
            <w:r w:rsidR="00991599" w:rsidRPr="002B4DD9">
              <w:rPr>
                <w:szCs w:val="24"/>
              </w:rPr>
              <w:t>exhibit to</w:t>
            </w:r>
            <w:r w:rsidR="004566F6" w:rsidRPr="002B4DD9">
              <w:rPr>
                <w:szCs w:val="24"/>
              </w:rPr>
              <w:t xml:space="preserve"> </w:t>
            </w:r>
            <w:r w:rsidR="00065BBB" w:rsidRPr="002B4DD9">
              <w:rPr>
                <w:szCs w:val="24"/>
              </w:rPr>
              <w:br/>
            </w:r>
            <w:r w:rsidRPr="002B4DD9">
              <w:rPr>
                <w:szCs w:val="24"/>
              </w:rPr>
              <w:t>Annual Report</w:t>
            </w:r>
          </w:p>
        </w:tc>
        <w:tc>
          <w:tcPr>
            <w:tcW w:w="2425" w:type="dxa"/>
            <w:vAlign w:val="center"/>
          </w:tcPr>
          <w:p w14:paraId="534A7773" w14:textId="48FBB663" w:rsidR="00861C1B" w:rsidRPr="002B4DD9" w:rsidRDefault="002B4DD9" w:rsidP="006C7448">
            <w:pPr>
              <w:pStyle w:val="ListParagraph"/>
              <w:spacing w:beforeLines="20" w:before="48" w:afterLines="20" w:after="48"/>
              <w:ind w:left="0"/>
              <w:contextualSpacing w:val="0"/>
              <w:jc w:val="center"/>
              <w:rPr>
                <w:szCs w:val="24"/>
              </w:rPr>
            </w:pPr>
            <w:r w:rsidRPr="002B4DD9">
              <w:rPr>
                <w:szCs w:val="24"/>
              </w:rPr>
              <w:t>7</w:t>
            </w:r>
            <w:r w:rsidR="00C02294" w:rsidRPr="002B4DD9">
              <w:rPr>
                <w:szCs w:val="24"/>
              </w:rPr>
              <w:t>.</w:t>
            </w:r>
            <w:r w:rsidR="00861C1B" w:rsidRPr="002B4DD9">
              <w:rPr>
                <w:szCs w:val="24"/>
              </w:rPr>
              <w:t>4</w:t>
            </w:r>
          </w:p>
        </w:tc>
      </w:tr>
      <w:tr w:rsidR="00861C1B" w:rsidRPr="00662BD5" w14:paraId="72016E07" w14:textId="77777777" w:rsidTr="00FF1350">
        <w:tc>
          <w:tcPr>
            <w:tcW w:w="3600" w:type="dxa"/>
            <w:vAlign w:val="center"/>
          </w:tcPr>
          <w:p w14:paraId="17347009" w14:textId="166F96B6" w:rsidR="00861C1B" w:rsidRPr="00646007" w:rsidRDefault="00861C1B" w:rsidP="006C7448">
            <w:pPr>
              <w:pStyle w:val="ListParagraph"/>
              <w:spacing w:beforeLines="20" w:before="48" w:afterLines="20" w:after="48"/>
              <w:ind w:left="0"/>
              <w:contextualSpacing w:val="0"/>
              <w:jc w:val="center"/>
              <w:rPr>
                <w:szCs w:val="24"/>
              </w:rPr>
            </w:pPr>
            <w:r w:rsidRPr="00646007">
              <w:rPr>
                <w:szCs w:val="24"/>
              </w:rPr>
              <w:t>Changes to</w:t>
            </w:r>
            <w:r w:rsidR="003B2E8F" w:rsidRPr="00646007">
              <w:rPr>
                <w:szCs w:val="24"/>
              </w:rPr>
              <w:br/>
            </w:r>
            <w:r w:rsidRPr="00646007">
              <w:rPr>
                <w:szCs w:val="24"/>
              </w:rPr>
              <w:t>Accessibility Consultant</w:t>
            </w:r>
          </w:p>
        </w:tc>
        <w:tc>
          <w:tcPr>
            <w:tcW w:w="3330" w:type="dxa"/>
            <w:vAlign w:val="center"/>
          </w:tcPr>
          <w:p w14:paraId="51BAC4D6" w14:textId="5A5B0F7F" w:rsidR="00861C1B" w:rsidRPr="00646007" w:rsidRDefault="00991599" w:rsidP="006C7448">
            <w:pPr>
              <w:pStyle w:val="ListParagraph"/>
              <w:spacing w:beforeLines="20" w:before="48" w:afterLines="20" w:after="48"/>
              <w:ind w:left="0"/>
              <w:contextualSpacing w:val="0"/>
              <w:jc w:val="center"/>
              <w:rPr>
                <w:szCs w:val="24"/>
              </w:rPr>
            </w:pPr>
            <w:r w:rsidRPr="00646007">
              <w:rPr>
                <w:szCs w:val="24"/>
              </w:rPr>
              <w:t xml:space="preserve">Within </w:t>
            </w:r>
            <w:r w:rsidR="00646007" w:rsidRPr="00646007">
              <w:rPr>
                <w:szCs w:val="24"/>
              </w:rPr>
              <w:t>3</w:t>
            </w:r>
            <w:r w:rsidR="00861C1B" w:rsidRPr="00646007">
              <w:rPr>
                <w:szCs w:val="24"/>
              </w:rPr>
              <w:t xml:space="preserve"> month</w:t>
            </w:r>
            <w:r w:rsidR="00646007" w:rsidRPr="00646007">
              <w:rPr>
                <w:szCs w:val="24"/>
              </w:rPr>
              <w:t>s</w:t>
            </w:r>
            <w:r w:rsidR="00861C1B" w:rsidRPr="00646007">
              <w:rPr>
                <w:szCs w:val="24"/>
              </w:rPr>
              <w:t xml:space="preserve"> of </w:t>
            </w:r>
            <w:r w:rsidRPr="00646007">
              <w:rPr>
                <w:szCs w:val="24"/>
              </w:rPr>
              <w:t>any</w:t>
            </w:r>
            <w:r w:rsidR="00861C1B" w:rsidRPr="00646007">
              <w:rPr>
                <w:szCs w:val="24"/>
              </w:rPr>
              <w:t xml:space="preserve"> change</w:t>
            </w:r>
          </w:p>
        </w:tc>
        <w:tc>
          <w:tcPr>
            <w:tcW w:w="2425" w:type="dxa"/>
            <w:vAlign w:val="center"/>
          </w:tcPr>
          <w:p w14:paraId="051E2F18" w14:textId="1A0B686E" w:rsidR="00861C1B" w:rsidRPr="00646007" w:rsidRDefault="008E7D3E" w:rsidP="006C7448">
            <w:pPr>
              <w:pStyle w:val="ListParagraph"/>
              <w:spacing w:beforeLines="20" w:before="48" w:afterLines="20" w:after="48"/>
              <w:ind w:left="0"/>
              <w:contextualSpacing w:val="0"/>
              <w:jc w:val="center"/>
              <w:rPr>
                <w:szCs w:val="24"/>
              </w:rPr>
            </w:pPr>
            <w:r w:rsidRPr="00646007">
              <w:rPr>
                <w:szCs w:val="24"/>
              </w:rPr>
              <w:t>7</w:t>
            </w:r>
            <w:r w:rsidR="00861C1B" w:rsidRPr="00646007">
              <w:rPr>
                <w:szCs w:val="24"/>
              </w:rPr>
              <w:t>.5</w:t>
            </w:r>
          </w:p>
        </w:tc>
      </w:tr>
      <w:tr w:rsidR="00861C1B" w:rsidRPr="00662BD5" w14:paraId="1066B795" w14:textId="77777777" w:rsidTr="00FF1350">
        <w:tc>
          <w:tcPr>
            <w:tcW w:w="3600" w:type="dxa"/>
            <w:vAlign w:val="center"/>
          </w:tcPr>
          <w:p w14:paraId="3BE6F93B" w14:textId="27645673" w:rsidR="00861C1B" w:rsidRPr="008E7D3E" w:rsidRDefault="00D447D4" w:rsidP="006C7448">
            <w:pPr>
              <w:pStyle w:val="ListParagraph"/>
              <w:spacing w:beforeLines="20" w:before="48" w:afterLines="20" w:after="48"/>
              <w:ind w:left="0"/>
              <w:contextualSpacing w:val="0"/>
              <w:jc w:val="center"/>
              <w:rPr>
                <w:szCs w:val="24"/>
              </w:rPr>
            </w:pPr>
            <w:r w:rsidRPr="008E7D3E">
              <w:rPr>
                <w:szCs w:val="24"/>
              </w:rPr>
              <w:t>Results of</w:t>
            </w:r>
            <w:r w:rsidR="008E7D3E" w:rsidRPr="008E7D3E">
              <w:rPr>
                <w:szCs w:val="24"/>
              </w:rPr>
              <w:t xml:space="preserve"> </w:t>
            </w:r>
            <w:r w:rsidR="00861C1B" w:rsidRPr="008E7D3E">
              <w:rPr>
                <w:szCs w:val="24"/>
              </w:rPr>
              <w:t>Accessibility Audit</w:t>
            </w:r>
          </w:p>
        </w:tc>
        <w:tc>
          <w:tcPr>
            <w:tcW w:w="3330" w:type="dxa"/>
            <w:vAlign w:val="center"/>
          </w:tcPr>
          <w:p w14:paraId="26F41B7C" w14:textId="6CEC1B46" w:rsidR="00861C1B" w:rsidRPr="008E7D3E" w:rsidRDefault="00861C1B" w:rsidP="006C7448">
            <w:pPr>
              <w:pStyle w:val="ListParagraph"/>
              <w:spacing w:beforeLines="20" w:before="48" w:afterLines="20" w:after="48"/>
              <w:ind w:left="0"/>
              <w:contextualSpacing w:val="0"/>
              <w:jc w:val="center"/>
              <w:rPr>
                <w:szCs w:val="24"/>
              </w:rPr>
            </w:pPr>
            <w:r w:rsidRPr="008E7D3E">
              <w:rPr>
                <w:szCs w:val="24"/>
              </w:rPr>
              <w:t>To be included as</w:t>
            </w:r>
            <w:r w:rsidR="0063612E" w:rsidRPr="008E7D3E">
              <w:rPr>
                <w:szCs w:val="24"/>
              </w:rPr>
              <w:t xml:space="preserve"> </w:t>
            </w:r>
            <w:r w:rsidRPr="008E7D3E">
              <w:rPr>
                <w:szCs w:val="24"/>
              </w:rPr>
              <w:t>exhibit to Annual Report</w:t>
            </w:r>
          </w:p>
        </w:tc>
        <w:tc>
          <w:tcPr>
            <w:tcW w:w="2425" w:type="dxa"/>
            <w:vAlign w:val="center"/>
          </w:tcPr>
          <w:p w14:paraId="7DCF2FB9" w14:textId="44B0D69B" w:rsidR="00861C1B" w:rsidRPr="008E7D3E" w:rsidRDefault="008E7D3E" w:rsidP="006C7448">
            <w:pPr>
              <w:pStyle w:val="ListParagraph"/>
              <w:spacing w:beforeLines="20" w:before="48" w:afterLines="20" w:after="48"/>
              <w:ind w:left="0"/>
              <w:contextualSpacing w:val="0"/>
              <w:jc w:val="center"/>
              <w:rPr>
                <w:szCs w:val="24"/>
              </w:rPr>
            </w:pPr>
            <w:r w:rsidRPr="008E7D3E">
              <w:rPr>
                <w:szCs w:val="24"/>
              </w:rPr>
              <w:t>8</w:t>
            </w:r>
            <w:r w:rsidR="00861C1B" w:rsidRPr="008E7D3E">
              <w:rPr>
                <w:szCs w:val="24"/>
              </w:rPr>
              <w:t>.3</w:t>
            </w:r>
          </w:p>
        </w:tc>
      </w:tr>
      <w:tr w:rsidR="00861C1B" w:rsidRPr="00662BD5" w14:paraId="4AC1DF0B" w14:textId="77777777" w:rsidTr="00FF1350">
        <w:tc>
          <w:tcPr>
            <w:tcW w:w="3600" w:type="dxa"/>
            <w:vAlign w:val="center"/>
          </w:tcPr>
          <w:p w14:paraId="4F9D8DD8" w14:textId="0D066CDE" w:rsidR="00861C1B" w:rsidRPr="009B4BD3" w:rsidRDefault="00861C1B" w:rsidP="006C7448">
            <w:pPr>
              <w:pStyle w:val="ListParagraph"/>
              <w:spacing w:beforeLines="20" w:before="48" w:afterLines="20" w:after="48"/>
              <w:ind w:left="0"/>
              <w:contextualSpacing w:val="0"/>
              <w:jc w:val="center"/>
              <w:rPr>
                <w:szCs w:val="24"/>
              </w:rPr>
            </w:pPr>
            <w:r w:rsidRPr="009B4BD3">
              <w:rPr>
                <w:szCs w:val="24"/>
              </w:rPr>
              <w:t>Accessibility Strategy</w:t>
            </w:r>
          </w:p>
        </w:tc>
        <w:tc>
          <w:tcPr>
            <w:tcW w:w="3330" w:type="dxa"/>
            <w:vAlign w:val="center"/>
          </w:tcPr>
          <w:p w14:paraId="6A577294" w14:textId="078D018F" w:rsidR="00861C1B" w:rsidRPr="009B4BD3" w:rsidRDefault="005C024B" w:rsidP="006C7448">
            <w:pPr>
              <w:pStyle w:val="ListParagraph"/>
              <w:spacing w:beforeLines="20" w:before="48" w:afterLines="20" w:after="48"/>
              <w:ind w:left="0"/>
              <w:contextualSpacing w:val="0"/>
              <w:jc w:val="center"/>
              <w:rPr>
                <w:szCs w:val="24"/>
              </w:rPr>
            </w:pPr>
            <w:r w:rsidRPr="009B4BD3">
              <w:rPr>
                <w:szCs w:val="24"/>
              </w:rPr>
              <w:t xml:space="preserve">Within </w:t>
            </w:r>
            <w:r w:rsidR="00861C1B" w:rsidRPr="009B4BD3">
              <w:rPr>
                <w:szCs w:val="24"/>
              </w:rPr>
              <w:t xml:space="preserve">18 months of </w:t>
            </w:r>
            <w:r w:rsidR="00055D5F" w:rsidRPr="009B4BD3">
              <w:rPr>
                <w:szCs w:val="24"/>
              </w:rPr>
              <w:br/>
            </w:r>
            <w:r w:rsidR="00861C1B" w:rsidRPr="009B4BD3">
              <w:rPr>
                <w:szCs w:val="24"/>
              </w:rPr>
              <w:t>Effective Date</w:t>
            </w:r>
          </w:p>
        </w:tc>
        <w:tc>
          <w:tcPr>
            <w:tcW w:w="2425" w:type="dxa"/>
            <w:shd w:val="clear" w:color="auto" w:fill="auto"/>
            <w:vAlign w:val="center"/>
          </w:tcPr>
          <w:p w14:paraId="37D3932C" w14:textId="1A97CC8A" w:rsidR="00861C1B" w:rsidRPr="009B4BD3" w:rsidRDefault="009B4BD3" w:rsidP="006C7448">
            <w:pPr>
              <w:pStyle w:val="ListParagraph"/>
              <w:spacing w:beforeLines="20" w:before="48" w:afterLines="20" w:after="48"/>
              <w:ind w:left="0"/>
              <w:contextualSpacing w:val="0"/>
              <w:jc w:val="center"/>
              <w:rPr>
                <w:szCs w:val="24"/>
              </w:rPr>
            </w:pPr>
            <w:r w:rsidRPr="009B4BD3">
              <w:rPr>
                <w:szCs w:val="24"/>
              </w:rPr>
              <w:t>9</w:t>
            </w:r>
            <w:r w:rsidR="00861C1B" w:rsidRPr="009B4BD3">
              <w:rPr>
                <w:szCs w:val="24"/>
              </w:rPr>
              <w:t>.3</w:t>
            </w:r>
          </w:p>
        </w:tc>
      </w:tr>
      <w:tr w:rsidR="00861C1B" w:rsidRPr="00662BD5" w14:paraId="18D90B97" w14:textId="77777777" w:rsidTr="00FF1350">
        <w:tc>
          <w:tcPr>
            <w:tcW w:w="3600" w:type="dxa"/>
            <w:vAlign w:val="center"/>
          </w:tcPr>
          <w:p w14:paraId="0A967D98" w14:textId="0467F83E" w:rsidR="00861C1B" w:rsidRPr="009B4BD3" w:rsidRDefault="00861C1B" w:rsidP="006C7448">
            <w:pPr>
              <w:pStyle w:val="ListParagraph"/>
              <w:spacing w:beforeLines="20" w:before="48" w:afterLines="20" w:after="48"/>
              <w:ind w:left="0"/>
              <w:contextualSpacing w:val="0"/>
              <w:jc w:val="center"/>
              <w:rPr>
                <w:szCs w:val="24"/>
              </w:rPr>
            </w:pPr>
            <w:r w:rsidRPr="009B4BD3">
              <w:rPr>
                <w:szCs w:val="24"/>
              </w:rPr>
              <w:t>Accessibility Statement</w:t>
            </w:r>
          </w:p>
        </w:tc>
        <w:tc>
          <w:tcPr>
            <w:tcW w:w="3330" w:type="dxa"/>
            <w:vAlign w:val="center"/>
          </w:tcPr>
          <w:p w14:paraId="4A5CE677" w14:textId="301CDD2A" w:rsidR="00861C1B" w:rsidRPr="009B4BD3" w:rsidRDefault="005C024B" w:rsidP="006C7448">
            <w:pPr>
              <w:pStyle w:val="ListParagraph"/>
              <w:spacing w:beforeLines="20" w:before="48" w:afterLines="20" w:after="48"/>
              <w:ind w:left="0"/>
              <w:contextualSpacing w:val="0"/>
              <w:jc w:val="center"/>
              <w:rPr>
                <w:szCs w:val="24"/>
              </w:rPr>
            </w:pPr>
            <w:r w:rsidRPr="009B4BD3">
              <w:rPr>
                <w:szCs w:val="24"/>
              </w:rPr>
              <w:t xml:space="preserve">Within </w:t>
            </w:r>
            <w:r w:rsidR="00861C1B" w:rsidRPr="009B4BD3">
              <w:rPr>
                <w:szCs w:val="24"/>
              </w:rPr>
              <w:t xml:space="preserve">9 months of </w:t>
            </w:r>
            <w:r w:rsidR="00DD7DAA" w:rsidRPr="009B4BD3">
              <w:rPr>
                <w:szCs w:val="24"/>
              </w:rPr>
              <w:br/>
            </w:r>
            <w:r w:rsidR="00861C1B" w:rsidRPr="009B4BD3">
              <w:rPr>
                <w:szCs w:val="24"/>
              </w:rPr>
              <w:t>Effective Date</w:t>
            </w:r>
          </w:p>
        </w:tc>
        <w:tc>
          <w:tcPr>
            <w:tcW w:w="2425" w:type="dxa"/>
            <w:vAlign w:val="center"/>
          </w:tcPr>
          <w:p w14:paraId="6902508C" w14:textId="094F7720" w:rsidR="00861C1B" w:rsidRPr="009B4BD3" w:rsidRDefault="00861C1B" w:rsidP="006C7448">
            <w:pPr>
              <w:pStyle w:val="ListParagraph"/>
              <w:spacing w:beforeLines="20" w:before="48" w:afterLines="20" w:after="48"/>
              <w:ind w:left="0"/>
              <w:contextualSpacing w:val="0"/>
              <w:jc w:val="center"/>
              <w:rPr>
                <w:szCs w:val="24"/>
              </w:rPr>
            </w:pPr>
            <w:r w:rsidRPr="009B4BD3">
              <w:rPr>
                <w:szCs w:val="24"/>
              </w:rPr>
              <w:t>1</w:t>
            </w:r>
            <w:r w:rsidR="009B4BD3" w:rsidRPr="009B4BD3">
              <w:rPr>
                <w:szCs w:val="24"/>
              </w:rPr>
              <w:t>0</w:t>
            </w:r>
            <w:r w:rsidRPr="009B4BD3">
              <w:rPr>
                <w:szCs w:val="24"/>
              </w:rPr>
              <w:t>.3</w:t>
            </w:r>
          </w:p>
        </w:tc>
      </w:tr>
      <w:tr w:rsidR="00D447D4" w:rsidRPr="00662BD5" w14:paraId="3D64191A" w14:textId="77777777" w:rsidTr="00FF1350">
        <w:tc>
          <w:tcPr>
            <w:tcW w:w="3600" w:type="dxa"/>
            <w:vAlign w:val="center"/>
          </w:tcPr>
          <w:p w14:paraId="599A24CE" w14:textId="41660B81" w:rsidR="00D447D4" w:rsidRPr="009B4BD3" w:rsidRDefault="00D447D4" w:rsidP="006C7448">
            <w:pPr>
              <w:pStyle w:val="ListParagraph"/>
              <w:spacing w:beforeLines="20" w:before="48" w:afterLines="20" w:after="48"/>
              <w:ind w:left="0"/>
              <w:contextualSpacing w:val="0"/>
              <w:jc w:val="center"/>
              <w:rPr>
                <w:szCs w:val="24"/>
              </w:rPr>
            </w:pPr>
            <w:r w:rsidRPr="009B4BD3">
              <w:rPr>
                <w:szCs w:val="24"/>
              </w:rPr>
              <w:t>Status of</w:t>
            </w:r>
            <w:r w:rsidR="00D60C45" w:rsidRPr="009B4BD3">
              <w:rPr>
                <w:szCs w:val="24"/>
              </w:rPr>
              <w:br/>
            </w:r>
            <w:r w:rsidRPr="009B4BD3">
              <w:rPr>
                <w:szCs w:val="24"/>
              </w:rPr>
              <w:t>Accessibility Statement</w:t>
            </w:r>
          </w:p>
        </w:tc>
        <w:tc>
          <w:tcPr>
            <w:tcW w:w="3330" w:type="dxa"/>
            <w:vAlign w:val="center"/>
          </w:tcPr>
          <w:p w14:paraId="0982D3F2" w14:textId="4683EEA8" w:rsidR="00D447D4" w:rsidRPr="009B4BD3" w:rsidRDefault="005C024B" w:rsidP="006C7448">
            <w:pPr>
              <w:pStyle w:val="ListParagraph"/>
              <w:spacing w:beforeLines="20" w:before="48" w:afterLines="20" w:after="48"/>
              <w:ind w:left="0"/>
              <w:contextualSpacing w:val="0"/>
              <w:jc w:val="center"/>
              <w:rPr>
                <w:szCs w:val="24"/>
              </w:rPr>
            </w:pPr>
            <w:r w:rsidRPr="009B4BD3">
              <w:rPr>
                <w:szCs w:val="24"/>
              </w:rPr>
              <w:t xml:space="preserve">To be included in </w:t>
            </w:r>
            <w:r w:rsidR="00D60C45" w:rsidRPr="009B4BD3">
              <w:rPr>
                <w:szCs w:val="24"/>
              </w:rPr>
              <w:br/>
            </w:r>
            <w:r w:rsidRPr="009B4BD3">
              <w:rPr>
                <w:szCs w:val="24"/>
              </w:rPr>
              <w:t>Annual Report</w:t>
            </w:r>
          </w:p>
        </w:tc>
        <w:tc>
          <w:tcPr>
            <w:tcW w:w="2425" w:type="dxa"/>
            <w:vAlign w:val="center"/>
          </w:tcPr>
          <w:p w14:paraId="7B09ADF9" w14:textId="27C18429" w:rsidR="00D447D4" w:rsidRPr="009B4BD3" w:rsidRDefault="005C024B" w:rsidP="006C7448">
            <w:pPr>
              <w:pStyle w:val="ListParagraph"/>
              <w:spacing w:beforeLines="20" w:before="48" w:afterLines="20" w:after="48"/>
              <w:ind w:left="0"/>
              <w:contextualSpacing w:val="0"/>
              <w:jc w:val="center"/>
              <w:rPr>
                <w:szCs w:val="24"/>
              </w:rPr>
            </w:pPr>
            <w:r w:rsidRPr="009B4BD3">
              <w:rPr>
                <w:szCs w:val="24"/>
              </w:rPr>
              <w:t>1</w:t>
            </w:r>
            <w:r w:rsidR="009B4BD3" w:rsidRPr="009B4BD3">
              <w:rPr>
                <w:szCs w:val="24"/>
              </w:rPr>
              <w:t>0</w:t>
            </w:r>
            <w:r w:rsidRPr="009B4BD3">
              <w:rPr>
                <w:szCs w:val="24"/>
              </w:rPr>
              <w:t>.8</w:t>
            </w:r>
          </w:p>
        </w:tc>
      </w:tr>
      <w:tr w:rsidR="00861C1B" w:rsidRPr="00662BD5" w14:paraId="555FAA58" w14:textId="77777777" w:rsidTr="00FF1350">
        <w:tc>
          <w:tcPr>
            <w:tcW w:w="3600" w:type="dxa"/>
            <w:vAlign w:val="center"/>
          </w:tcPr>
          <w:p w14:paraId="599E5594" w14:textId="2D060623" w:rsidR="00861C1B" w:rsidRPr="009016A4" w:rsidRDefault="00861C1B" w:rsidP="006C7448">
            <w:pPr>
              <w:pStyle w:val="ListParagraph"/>
              <w:spacing w:beforeLines="20" w:before="48" w:afterLines="20" w:after="48"/>
              <w:ind w:left="0"/>
              <w:contextualSpacing w:val="0"/>
              <w:jc w:val="center"/>
              <w:rPr>
                <w:szCs w:val="24"/>
              </w:rPr>
            </w:pPr>
            <w:r w:rsidRPr="009016A4">
              <w:rPr>
                <w:szCs w:val="24"/>
              </w:rPr>
              <w:t xml:space="preserve">Accessibility </w:t>
            </w:r>
            <w:r w:rsidR="00D447D4" w:rsidRPr="009016A4">
              <w:rPr>
                <w:szCs w:val="24"/>
              </w:rPr>
              <w:t>t</w:t>
            </w:r>
            <w:r w:rsidRPr="009016A4">
              <w:rPr>
                <w:szCs w:val="24"/>
              </w:rPr>
              <w:t xml:space="preserve">raining </w:t>
            </w:r>
            <w:r w:rsidR="00D447D4" w:rsidRPr="009016A4">
              <w:rPr>
                <w:szCs w:val="24"/>
              </w:rPr>
              <w:t>m</w:t>
            </w:r>
            <w:r w:rsidRPr="009016A4">
              <w:rPr>
                <w:szCs w:val="24"/>
              </w:rPr>
              <w:t>aterial</w:t>
            </w:r>
            <w:r w:rsidR="00D447D4" w:rsidRPr="009016A4">
              <w:rPr>
                <w:szCs w:val="24"/>
              </w:rPr>
              <w:t>s</w:t>
            </w:r>
          </w:p>
        </w:tc>
        <w:tc>
          <w:tcPr>
            <w:tcW w:w="3330" w:type="dxa"/>
            <w:vAlign w:val="center"/>
          </w:tcPr>
          <w:p w14:paraId="2A45F1AC" w14:textId="5D457788" w:rsidR="00861C1B" w:rsidRPr="009016A4" w:rsidRDefault="00861C1B" w:rsidP="006C7448">
            <w:pPr>
              <w:pStyle w:val="ListParagraph"/>
              <w:spacing w:beforeLines="20" w:before="48" w:afterLines="20" w:after="48"/>
              <w:ind w:left="0"/>
              <w:contextualSpacing w:val="0"/>
              <w:jc w:val="center"/>
              <w:rPr>
                <w:szCs w:val="24"/>
              </w:rPr>
            </w:pPr>
            <w:r w:rsidRPr="009016A4">
              <w:rPr>
                <w:szCs w:val="24"/>
              </w:rPr>
              <w:t xml:space="preserve">To be included in </w:t>
            </w:r>
            <w:r w:rsidR="006F0AD1" w:rsidRPr="009016A4">
              <w:rPr>
                <w:szCs w:val="24"/>
              </w:rPr>
              <w:br/>
            </w:r>
            <w:r w:rsidRPr="009016A4">
              <w:rPr>
                <w:szCs w:val="24"/>
              </w:rPr>
              <w:t>Annual Report</w:t>
            </w:r>
          </w:p>
        </w:tc>
        <w:tc>
          <w:tcPr>
            <w:tcW w:w="2425" w:type="dxa"/>
            <w:vAlign w:val="center"/>
          </w:tcPr>
          <w:p w14:paraId="58552455" w14:textId="1942DBB9" w:rsidR="00861C1B" w:rsidRPr="009016A4" w:rsidRDefault="00861C1B" w:rsidP="006C7448">
            <w:pPr>
              <w:pStyle w:val="ListParagraph"/>
              <w:spacing w:beforeLines="20" w:before="48" w:afterLines="20" w:after="48"/>
              <w:ind w:left="0"/>
              <w:contextualSpacing w:val="0"/>
              <w:jc w:val="center"/>
              <w:rPr>
                <w:szCs w:val="24"/>
              </w:rPr>
            </w:pPr>
            <w:r w:rsidRPr="009016A4">
              <w:rPr>
                <w:szCs w:val="24"/>
              </w:rPr>
              <w:t>1</w:t>
            </w:r>
            <w:r w:rsidR="009016A4" w:rsidRPr="009016A4">
              <w:rPr>
                <w:szCs w:val="24"/>
              </w:rPr>
              <w:t>1</w:t>
            </w:r>
            <w:r w:rsidRPr="009016A4">
              <w:rPr>
                <w:szCs w:val="24"/>
              </w:rPr>
              <w:t>.5</w:t>
            </w:r>
          </w:p>
        </w:tc>
      </w:tr>
      <w:tr w:rsidR="00047F67" w:rsidRPr="00662BD5" w14:paraId="19EA258C" w14:textId="77777777" w:rsidTr="00FF1350">
        <w:tc>
          <w:tcPr>
            <w:tcW w:w="3600" w:type="dxa"/>
            <w:vAlign w:val="center"/>
          </w:tcPr>
          <w:p w14:paraId="5FDECD07" w14:textId="50A746A7" w:rsidR="00047F67" w:rsidRPr="00662BD5" w:rsidRDefault="00047F67" w:rsidP="00047F67">
            <w:pPr>
              <w:pStyle w:val="ListParagraph"/>
              <w:spacing w:beforeLines="20" w:before="48" w:afterLines="20" w:after="48"/>
              <w:ind w:left="0"/>
              <w:contextualSpacing w:val="0"/>
              <w:jc w:val="center"/>
              <w:rPr>
                <w:szCs w:val="24"/>
                <w:highlight w:val="yellow"/>
              </w:rPr>
            </w:pPr>
            <w:r w:rsidRPr="00B531B1">
              <w:rPr>
                <w:szCs w:val="24"/>
              </w:rPr>
              <w:t xml:space="preserve">Complaints received by </w:t>
            </w:r>
            <w:r>
              <w:rPr>
                <w:szCs w:val="24"/>
              </w:rPr>
              <w:t>A</w:t>
            </w:r>
            <w:r w:rsidRPr="00B531B1">
              <w:rPr>
                <w:szCs w:val="24"/>
              </w:rPr>
              <w:t xml:space="preserve">ccessibility </w:t>
            </w:r>
            <w:r>
              <w:rPr>
                <w:szCs w:val="24"/>
              </w:rPr>
              <w:t>S</w:t>
            </w:r>
            <w:r w:rsidRPr="00B531B1">
              <w:rPr>
                <w:szCs w:val="24"/>
              </w:rPr>
              <w:t xml:space="preserve">upport </w:t>
            </w:r>
            <w:r>
              <w:rPr>
                <w:szCs w:val="24"/>
              </w:rPr>
              <w:t>P</w:t>
            </w:r>
            <w:r w:rsidRPr="00B531B1">
              <w:rPr>
                <w:szCs w:val="24"/>
              </w:rPr>
              <w:t xml:space="preserve">ersonnel regarding </w:t>
            </w:r>
            <w:r>
              <w:rPr>
                <w:szCs w:val="24"/>
              </w:rPr>
              <w:t>A</w:t>
            </w:r>
            <w:r w:rsidRPr="00B531B1">
              <w:rPr>
                <w:szCs w:val="24"/>
              </w:rPr>
              <w:t>ccessibility</w:t>
            </w:r>
            <w:r>
              <w:rPr>
                <w:szCs w:val="24"/>
              </w:rPr>
              <w:br/>
            </w:r>
            <w:r w:rsidRPr="00B531B1">
              <w:rPr>
                <w:szCs w:val="24"/>
              </w:rPr>
              <w:t>of Digital Properties</w:t>
            </w:r>
          </w:p>
        </w:tc>
        <w:tc>
          <w:tcPr>
            <w:tcW w:w="3330" w:type="dxa"/>
            <w:vAlign w:val="center"/>
          </w:tcPr>
          <w:p w14:paraId="016C6B3A" w14:textId="6BE9C880" w:rsidR="00047F67" w:rsidRPr="00662BD5" w:rsidRDefault="00047F67" w:rsidP="00047F67">
            <w:pPr>
              <w:pStyle w:val="ListParagraph"/>
              <w:spacing w:beforeLines="20" w:before="48" w:afterLines="20" w:after="48"/>
              <w:ind w:left="0"/>
              <w:contextualSpacing w:val="0"/>
              <w:jc w:val="center"/>
              <w:rPr>
                <w:szCs w:val="24"/>
                <w:highlight w:val="yellow"/>
              </w:rPr>
            </w:pPr>
            <w:r w:rsidRPr="00B531B1">
              <w:rPr>
                <w:szCs w:val="24"/>
              </w:rPr>
              <w:t>To be included in</w:t>
            </w:r>
            <w:r w:rsidRPr="00B531B1">
              <w:rPr>
                <w:szCs w:val="24"/>
              </w:rPr>
              <w:br/>
              <w:t xml:space="preserve"> Annual Report or Letter of Reasonable Accessibility, whichever is next due</w:t>
            </w:r>
          </w:p>
        </w:tc>
        <w:tc>
          <w:tcPr>
            <w:tcW w:w="2425" w:type="dxa"/>
            <w:vAlign w:val="center"/>
          </w:tcPr>
          <w:p w14:paraId="375A2FD7" w14:textId="02BDB91C" w:rsidR="00047F67" w:rsidRPr="00662BD5" w:rsidRDefault="00047F67" w:rsidP="00047F67">
            <w:pPr>
              <w:pStyle w:val="ListParagraph"/>
              <w:spacing w:beforeLines="20" w:before="48" w:afterLines="20" w:after="48"/>
              <w:ind w:left="0"/>
              <w:contextualSpacing w:val="0"/>
              <w:jc w:val="center"/>
              <w:rPr>
                <w:szCs w:val="24"/>
                <w:highlight w:val="yellow"/>
              </w:rPr>
            </w:pPr>
            <w:r w:rsidRPr="00B531B1">
              <w:rPr>
                <w:szCs w:val="24"/>
              </w:rPr>
              <w:t>13.3</w:t>
            </w:r>
          </w:p>
        </w:tc>
      </w:tr>
      <w:tr w:rsidR="00D447D4" w:rsidRPr="00662BD5" w14:paraId="10DD7ADF" w14:textId="77777777" w:rsidTr="00FF1350">
        <w:tc>
          <w:tcPr>
            <w:tcW w:w="3600" w:type="dxa"/>
            <w:vAlign w:val="center"/>
          </w:tcPr>
          <w:p w14:paraId="6936C748" w14:textId="0982FA42" w:rsidR="00D447D4" w:rsidRPr="000A3CB5" w:rsidRDefault="00D447D4" w:rsidP="006C7448">
            <w:pPr>
              <w:pStyle w:val="ListParagraph"/>
              <w:spacing w:beforeLines="20" w:before="48" w:afterLines="20" w:after="48"/>
              <w:ind w:left="0"/>
              <w:contextualSpacing w:val="0"/>
              <w:jc w:val="center"/>
              <w:rPr>
                <w:szCs w:val="24"/>
              </w:rPr>
            </w:pPr>
            <w:r w:rsidRPr="000A3CB5">
              <w:rPr>
                <w:szCs w:val="24"/>
              </w:rPr>
              <w:t xml:space="preserve">Results of </w:t>
            </w:r>
            <w:r w:rsidR="0063612E" w:rsidRPr="000A3CB5">
              <w:rPr>
                <w:szCs w:val="24"/>
              </w:rPr>
              <w:t>s</w:t>
            </w:r>
            <w:r w:rsidRPr="000A3CB5">
              <w:rPr>
                <w:szCs w:val="24"/>
              </w:rPr>
              <w:t>emi-</w:t>
            </w:r>
            <w:r w:rsidR="0063612E" w:rsidRPr="000A3CB5">
              <w:rPr>
                <w:szCs w:val="24"/>
              </w:rPr>
              <w:t>a</w:t>
            </w:r>
            <w:r w:rsidRPr="000A3CB5">
              <w:rPr>
                <w:szCs w:val="24"/>
              </w:rPr>
              <w:t>nnual</w:t>
            </w:r>
            <w:r w:rsidR="000A3CB5" w:rsidRPr="000A3CB5">
              <w:rPr>
                <w:szCs w:val="24"/>
              </w:rPr>
              <w:br/>
            </w:r>
            <w:r w:rsidR="0063612E" w:rsidRPr="000A3CB5">
              <w:rPr>
                <w:szCs w:val="24"/>
              </w:rPr>
              <w:t>a</w:t>
            </w:r>
            <w:r w:rsidRPr="000A3CB5">
              <w:rPr>
                <w:szCs w:val="24"/>
              </w:rPr>
              <w:t xml:space="preserve">utomated </w:t>
            </w:r>
            <w:r w:rsidR="0063612E" w:rsidRPr="000A3CB5">
              <w:rPr>
                <w:szCs w:val="24"/>
              </w:rPr>
              <w:t>a</w:t>
            </w:r>
            <w:r w:rsidRPr="000A3CB5">
              <w:rPr>
                <w:szCs w:val="24"/>
              </w:rPr>
              <w:t xml:space="preserve">ccessibility </w:t>
            </w:r>
            <w:r w:rsidR="0063612E" w:rsidRPr="000A3CB5">
              <w:rPr>
                <w:szCs w:val="24"/>
              </w:rPr>
              <w:t>a</w:t>
            </w:r>
            <w:r w:rsidRPr="000A3CB5">
              <w:rPr>
                <w:szCs w:val="24"/>
              </w:rPr>
              <w:t>udit</w:t>
            </w:r>
          </w:p>
        </w:tc>
        <w:tc>
          <w:tcPr>
            <w:tcW w:w="3330" w:type="dxa"/>
            <w:vAlign w:val="center"/>
          </w:tcPr>
          <w:p w14:paraId="7587F6C9" w14:textId="090D7D5D" w:rsidR="00D447D4" w:rsidRPr="000A3CB5" w:rsidRDefault="000A3CB5" w:rsidP="006C7448">
            <w:pPr>
              <w:pStyle w:val="ListParagraph"/>
              <w:spacing w:beforeLines="20" w:before="48" w:afterLines="20" w:after="48"/>
              <w:ind w:left="0"/>
              <w:contextualSpacing w:val="0"/>
              <w:jc w:val="center"/>
              <w:rPr>
                <w:szCs w:val="24"/>
              </w:rPr>
            </w:pPr>
            <w:r w:rsidRPr="000A3CB5">
              <w:rPr>
                <w:szCs w:val="24"/>
              </w:rPr>
              <w:t xml:space="preserve">To be included in </w:t>
            </w:r>
            <w:r w:rsidRPr="000A3CB5">
              <w:rPr>
                <w:szCs w:val="24"/>
              </w:rPr>
              <w:br/>
              <w:t>Annual Report or Letter of Reasonable Accessibility, whichever is next due</w:t>
            </w:r>
          </w:p>
        </w:tc>
        <w:tc>
          <w:tcPr>
            <w:tcW w:w="2425" w:type="dxa"/>
            <w:vAlign w:val="center"/>
          </w:tcPr>
          <w:p w14:paraId="7C1370DB" w14:textId="10A9F569" w:rsidR="00D447D4" w:rsidRPr="000A3CB5" w:rsidRDefault="005C024B" w:rsidP="006C7448">
            <w:pPr>
              <w:pStyle w:val="ListParagraph"/>
              <w:spacing w:beforeLines="20" w:before="48" w:afterLines="20" w:after="48"/>
              <w:ind w:left="0"/>
              <w:contextualSpacing w:val="0"/>
              <w:jc w:val="center"/>
              <w:rPr>
                <w:szCs w:val="24"/>
              </w:rPr>
            </w:pPr>
            <w:r w:rsidRPr="000A3CB5">
              <w:rPr>
                <w:szCs w:val="24"/>
              </w:rPr>
              <w:t>1</w:t>
            </w:r>
            <w:r w:rsidR="000A3CB5" w:rsidRPr="000A3CB5">
              <w:rPr>
                <w:szCs w:val="24"/>
              </w:rPr>
              <w:t>4</w:t>
            </w:r>
            <w:r w:rsidRPr="000A3CB5">
              <w:rPr>
                <w:szCs w:val="24"/>
              </w:rPr>
              <w:t>.2</w:t>
            </w:r>
          </w:p>
        </w:tc>
      </w:tr>
      <w:tr w:rsidR="00861C1B" w:rsidRPr="00662BD5" w14:paraId="41B4ED7D" w14:textId="77777777" w:rsidTr="00FF1350">
        <w:tc>
          <w:tcPr>
            <w:tcW w:w="3600" w:type="dxa"/>
            <w:vAlign w:val="center"/>
          </w:tcPr>
          <w:p w14:paraId="4FCEF224" w14:textId="3FD545AE" w:rsidR="00861C1B" w:rsidRPr="0063612E" w:rsidRDefault="00D447D4" w:rsidP="006C7448">
            <w:pPr>
              <w:pStyle w:val="ListParagraph"/>
              <w:spacing w:beforeLines="20" w:before="48" w:afterLines="20" w:after="48"/>
              <w:ind w:left="0"/>
              <w:contextualSpacing w:val="0"/>
              <w:jc w:val="center"/>
              <w:rPr>
                <w:szCs w:val="24"/>
              </w:rPr>
            </w:pPr>
            <w:r w:rsidRPr="0063612E">
              <w:rPr>
                <w:szCs w:val="24"/>
              </w:rPr>
              <w:t xml:space="preserve">Results of </w:t>
            </w:r>
            <w:r w:rsidR="0063612E" w:rsidRPr="0063612E">
              <w:rPr>
                <w:szCs w:val="24"/>
              </w:rPr>
              <w:t>a</w:t>
            </w:r>
            <w:r w:rsidR="00861C1B" w:rsidRPr="0063612E">
              <w:rPr>
                <w:szCs w:val="24"/>
              </w:rPr>
              <w:t xml:space="preserve">nnual </w:t>
            </w:r>
            <w:r w:rsidR="00045F7A" w:rsidRPr="0063612E">
              <w:rPr>
                <w:szCs w:val="24"/>
              </w:rPr>
              <w:br/>
            </w:r>
            <w:r w:rsidR="0063612E" w:rsidRPr="0063612E">
              <w:rPr>
                <w:szCs w:val="24"/>
              </w:rPr>
              <w:t>e</w:t>
            </w:r>
            <w:r w:rsidR="00861C1B" w:rsidRPr="0063612E">
              <w:rPr>
                <w:szCs w:val="24"/>
              </w:rPr>
              <w:t>nd-</w:t>
            </w:r>
            <w:r w:rsidR="0063612E" w:rsidRPr="0063612E">
              <w:rPr>
                <w:szCs w:val="24"/>
              </w:rPr>
              <w:t>u</w:t>
            </w:r>
            <w:r w:rsidR="00861C1B" w:rsidRPr="0063612E">
              <w:rPr>
                <w:szCs w:val="24"/>
              </w:rPr>
              <w:t xml:space="preserve">ser </w:t>
            </w:r>
            <w:r w:rsidR="0063612E" w:rsidRPr="0063612E">
              <w:rPr>
                <w:szCs w:val="24"/>
              </w:rPr>
              <w:t>a</w:t>
            </w:r>
            <w:r w:rsidR="00861C1B" w:rsidRPr="0063612E">
              <w:rPr>
                <w:szCs w:val="24"/>
              </w:rPr>
              <w:t xml:space="preserve">ccessibility </w:t>
            </w:r>
            <w:r w:rsidR="0063612E" w:rsidRPr="0063612E">
              <w:rPr>
                <w:szCs w:val="24"/>
              </w:rPr>
              <w:t>t</w:t>
            </w:r>
            <w:r w:rsidR="00861C1B" w:rsidRPr="0063612E">
              <w:rPr>
                <w:szCs w:val="24"/>
              </w:rPr>
              <w:t>esting</w:t>
            </w:r>
          </w:p>
        </w:tc>
        <w:tc>
          <w:tcPr>
            <w:tcW w:w="3330" w:type="dxa"/>
            <w:vAlign w:val="center"/>
          </w:tcPr>
          <w:p w14:paraId="512C3B59" w14:textId="1C6D7687" w:rsidR="00861C1B" w:rsidRPr="0063612E" w:rsidRDefault="00861C1B" w:rsidP="006C7448">
            <w:pPr>
              <w:pStyle w:val="ListParagraph"/>
              <w:spacing w:beforeLines="20" w:before="48" w:afterLines="20" w:after="48"/>
              <w:ind w:left="0"/>
              <w:contextualSpacing w:val="0"/>
              <w:jc w:val="center"/>
              <w:rPr>
                <w:szCs w:val="24"/>
              </w:rPr>
            </w:pPr>
            <w:r w:rsidRPr="0063612E">
              <w:rPr>
                <w:szCs w:val="24"/>
              </w:rPr>
              <w:t xml:space="preserve">To be included in </w:t>
            </w:r>
            <w:r w:rsidR="006F0AD1" w:rsidRPr="0063612E">
              <w:rPr>
                <w:szCs w:val="24"/>
              </w:rPr>
              <w:br/>
            </w:r>
            <w:r w:rsidRPr="0063612E">
              <w:rPr>
                <w:szCs w:val="24"/>
              </w:rPr>
              <w:t>Annual Report</w:t>
            </w:r>
            <w:r w:rsidR="0063612E" w:rsidRPr="0063612E">
              <w:rPr>
                <w:szCs w:val="24"/>
              </w:rPr>
              <w:t xml:space="preserve"> or Letter of Reasonable Accessibility, whichever is next due</w:t>
            </w:r>
          </w:p>
        </w:tc>
        <w:tc>
          <w:tcPr>
            <w:tcW w:w="2425" w:type="dxa"/>
            <w:vAlign w:val="center"/>
          </w:tcPr>
          <w:p w14:paraId="28EDB13B" w14:textId="4B15DDCB" w:rsidR="00861C1B" w:rsidRPr="0063612E" w:rsidRDefault="00861C1B" w:rsidP="006C7448">
            <w:pPr>
              <w:pStyle w:val="ListParagraph"/>
              <w:spacing w:beforeLines="20" w:before="48" w:afterLines="20" w:after="48"/>
              <w:ind w:left="0"/>
              <w:contextualSpacing w:val="0"/>
              <w:jc w:val="center"/>
              <w:rPr>
                <w:szCs w:val="24"/>
              </w:rPr>
            </w:pPr>
            <w:r w:rsidRPr="0063612E">
              <w:rPr>
                <w:szCs w:val="24"/>
              </w:rPr>
              <w:t>1</w:t>
            </w:r>
            <w:r w:rsidR="0063612E" w:rsidRPr="0063612E">
              <w:rPr>
                <w:szCs w:val="24"/>
              </w:rPr>
              <w:t>5</w:t>
            </w:r>
            <w:r w:rsidRPr="0063612E">
              <w:rPr>
                <w:szCs w:val="24"/>
              </w:rPr>
              <w:t>.2</w:t>
            </w:r>
          </w:p>
        </w:tc>
      </w:tr>
      <w:tr w:rsidR="00861C1B" w:rsidRPr="00662BD5" w14:paraId="46699D31" w14:textId="77777777" w:rsidTr="00FF1350">
        <w:tc>
          <w:tcPr>
            <w:tcW w:w="3600" w:type="dxa"/>
            <w:vAlign w:val="center"/>
          </w:tcPr>
          <w:p w14:paraId="5507B212" w14:textId="6DFCA388" w:rsidR="00861C1B" w:rsidRPr="0063612E" w:rsidRDefault="00D447D4" w:rsidP="006C7448">
            <w:pPr>
              <w:pStyle w:val="ListParagraph"/>
              <w:spacing w:beforeLines="20" w:before="48" w:afterLines="20" w:after="48"/>
              <w:ind w:left="0"/>
              <w:contextualSpacing w:val="0"/>
              <w:jc w:val="center"/>
              <w:rPr>
                <w:szCs w:val="24"/>
              </w:rPr>
            </w:pPr>
            <w:r w:rsidRPr="0063612E">
              <w:rPr>
                <w:szCs w:val="24"/>
              </w:rPr>
              <w:t>A</w:t>
            </w:r>
            <w:r w:rsidR="00861C1B" w:rsidRPr="0063612E">
              <w:rPr>
                <w:szCs w:val="24"/>
              </w:rPr>
              <w:t>ccessibility-related questions</w:t>
            </w:r>
            <w:r w:rsidR="00FF1350" w:rsidRPr="0063612E">
              <w:rPr>
                <w:szCs w:val="24"/>
              </w:rPr>
              <w:t xml:space="preserve"> and </w:t>
            </w:r>
            <w:r w:rsidR="00861C1B" w:rsidRPr="0063612E">
              <w:rPr>
                <w:szCs w:val="24"/>
              </w:rPr>
              <w:t xml:space="preserve">comments received by </w:t>
            </w:r>
            <w:r w:rsidRPr="0063612E">
              <w:rPr>
                <w:szCs w:val="24"/>
              </w:rPr>
              <w:t>Defendant</w:t>
            </w:r>
          </w:p>
        </w:tc>
        <w:tc>
          <w:tcPr>
            <w:tcW w:w="3330" w:type="dxa"/>
            <w:vAlign w:val="center"/>
          </w:tcPr>
          <w:p w14:paraId="23473854" w14:textId="41201428" w:rsidR="00861C1B" w:rsidRPr="0063612E" w:rsidRDefault="00861C1B" w:rsidP="006C7448">
            <w:pPr>
              <w:pStyle w:val="ListParagraph"/>
              <w:spacing w:beforeLines="20" w:before="48" w:afterLines="20" w:after="48"/>
              <w:ind w:left="0"/>
              <w:contextualSpacing w:val="0"/>
              <w:jc w:val="center"/>
              <w:rPr>
                <w:szCs w:val="24"/>
              </w:rPr>
            </w:pPr>
            <w:r w:rsidRPr="0063612E">
              <w:rPr>
                <w:szCs w:val="24"/>
              </w:rPr>
              <w:t xml:space="preserve">To be included in </w:t>
            </w:r>
            <w:r w:rsidR="006F0AD1" w:rsidRPr="0063612E">
              <w:rPr>
                <w:szCs w:val="24"/>
              </w:rPr>
              <w:br/>
            </w:r>
            <w:r w:rsidRPr="0063612E">
              <w:rPr>
                <w:szCs w:val="24"/>
              </w:rPr>
              <w:t>Annual Report</w:t>
            </w:r>
          </w:p>
        </w:tc>
        <w:tc>
          <w:tcPr>
            <w:tcW w:w="2425" w:type="dxa"/>
            <w:vAlign w:val="center"/>
          </w:tcPr>
          <w:p w14:paraId="7E48B58B" w14:textId="69D0B17E" w:rsidR="00861C1B" w:rsidRPr="0063612E" w:rsidRDefault="00861C1B" w:rsidP="006C7448">
            <w:pPr>
              <w:pStyle w:val="ListParagraph"/>
              <w:spacing w:beforeLines="20" w:before="48" w:afterLines="20" w:after="48"/>
              <w:ind w:left="0"/>
              <w:contextualSpacing w:val="0"/>
              <w:jc w:val="center"/>
              <w:rPr>
                <w:szCs w:val="24"/>
              </w:rPr>
            </w:pPr>
            <w:r w:rsidRPr="0063612E">
              <w:rPr>
                <w:szCs w:val="24"/>
              </w:rPr>
              <w:t>1</w:t>
            </w:r>
            <w:r w:rsidR="0063612E" w:rsidRPr="0063612E">
              <w:rPr>
                <w:szCs w:val="24"/>
              </w:rPr>
              <w:t>7</w:t>
            </w:r>
            <w:r w:rsidRPr="0063612E">
              <w:rPr>
                <w:szCs w:val="24"/>
              </w:rPr>
              <w:t>.2</w:t>
            </w:r>
          </w:p>
        </w:tc>
      </w:tr>
      <w:tr w:rsidR="00646007" w:rsidRPr="00662BD5" w14:paraId="3726DA14" w14:textId="77777777" w:rsidTr="00FF1350">
        <w:tc>
          <w:tcPr>
            <w:tcW w:w="3600" w:type="dxa"/>
            <w:vAlign w:val="center"/>
          </w:tcPr>
          <w:p w14:paraId="75758D65" w14:textId="555D0A77" w:rsidR="00646007" w:rsidRPr="0063612E" w:rsidRDefault="00646007" w:rsidP="00646007">
            <w:pPr>
              <w:pStyle w:val="ListParagraph"/>
              <w:spacing w:beforeLines="20" w:before="48" w:afterLines="20" w:after="48"/>
              <w:ind w:left="0"/>
              <w:contextualSpacing w:val="0"/>
              <w:jc w:val="center"/>
              <w:rPr>
                <w:szCs w:val="24"/>
              </w:rPr>
            </w:pPr>
            <w:r w:rsidRPr="00E42F41">
              <w:rPr>
                <w:szCs w:val="24"/>
              </w:rPr>
              <w:t>Annual Report</w:t>
            </w:r>
          </w:p>
        </w:tc>
        <w:tc>
          <w:tcPr>
            <w:tcW w:w="3330" w:type="dxa"/>
            <w:vAlign w:val="center"/>
          </w:tcPr>
          <w:p w14:paraId="39BE5AD8" w14:textId="57DC9958" w:rsidR="00646007" w:rsidRPr="0063612E" w:rsidRDefault="00646007" w:rsidP="00646007">
            <w:pPr>
              <w:pStyle w:val="ListParagraph"/>
              <w:spacing w:beforeLines="20" w:before="48" w:afterLines="20" w:after="48"/>
              <w:ind w:left="0"/>
              <w:contextualSpacing w:val="0"/>
              <w:jc w:val="center"/>
              <w:rPr>
                <w:szCs w:val="24"/>
              </w:rPr>
            </w:pPr>
            <w:r w:rsidRPr="003E1885">
              <w:rPr>
                <w:szCs w:val="24"/>
              </w:rPr>
              <w:t>On anniversary of</w:t>
            </w:r>
            <w:r>
              <w:rPr>
                <w:szCs w:val="24"/>
              </w:rPr>
              <w:br/>
            </w:r>
            <w:r w:rsidRPr="003E1885">
              <w:rPr>
                <w:szCs w:val="24"/>
              </w:rPr>
              <w:t>Effective Date during</w:t>
            </w:r>
            <w:r>
              <w:rPr>
                <w:szCs w:val="24"/>
              </w:rPr>
              <w:br/>
            </w:r>
            <w:r w:rsidRPr="003E1885">
              <w:rPr>
                <w:szCs w:val="24"/>
              </w:rPr>
              <w:t>Agreement Term</w:t>
            </w:r>
          </w:p>
        </w:tc>
        <w:tc>
          <w:tcPr>
            <w:tcW w:w="2425" w:type="dxa"/>
            <w:vAlign w:val="center"/>
          </w:tcPr>
          <w:p w14:paraId="56AFF3BF" w14:textId="2FEB8DB8" w:rsidR="00646007" w:rsidRPr="0063612E" w:rsidRDefault="00646007" w:rsidP="00646007">
            <w:pPr>
              <w:pStyle w:val="ListParagraph"/>
              <w:spacing w:beforeLines="20" w:before="48" w:afterLines="20" w:after="48"/>
              <w:ind w:left="0"/>
              <w:contextualSpacing w:val="0"/>
              <w:jc w:val="center"/>
              <w:rPr>
                <w:szCs w:val="24"/>
              </w:rPr>
            </w:pPr>
            <w:r w:rsidRPr="00E97E8C">
              <w:rPr>
                <w:szCs w:val="24"/>
              </w:rPr>
              <w:t>21.1</w:t>
            </w:r>
          </w:p>
        </w:tc>
      </w:tr>
    </w:tbl>
    <w:p w14:paraId="62ABCD40" w14:textId="230AA248" w:rsidR="00924287" w:rsidRPr="00863BB4" w:rsidRDefault="0038007D" w:rsidP="006C7448">
      <w:pPr>
        <w:pStyle w:val="ListParagraph"/>
        <w:keepNext/>
        <w:widowControl w:val="0"/>
        <w:numPr>
          <w:ilvl w:val="2"/>
          <w:numId w:val="1"/>
        </w:numPr>
        <w:spacing w:before="240" w:after="240"/>
        <w:ind w:left="0" w:right="720" w:firstLine="1440"/>
        <w:contextualSpacing w:val="0"/>
        <w:rPr>
          <w:b/>
          <w:bCs/>
          <w:szCs w:val="24"/>
        </w:rPr>
      </w:pPr>
      <w:r w:rsidRPr="00863BB4">
        <w:rPr>
          <w:b/>
          <w:bCs/>
          <w:iCs/>
          <w:szCs w:val="24"/>
        </w:rPr>
        <w:lastRenderedPageBreak/>
        <w:t>Plaintiff’s Compliance Monitoring Obligations</w:t>
      </w:r>
    </w:p>
    <w:p w14:paraId="0E3E84CA" w14:textId="169CF1FC" w:rsidR="00ED3914" w:rsidRPr="00863BB4" w:rsidRDefault="008F37C0" w:rsidP="006C7448">
      <w:pPr>
        <w:widowControl w:val="0"/>
        <w:spacing w:line="480" w:lineRule="auto"/>
        <w:ind w:firstLine="720"/>
        <w:jc w:val="both"/>
        <w:rPr>
          <w:szCs w:val="24"/>
        </w:rPr>
      </w:pPr>
      <w:r w:rsidRPr="00863BB4">
        <w:rPr>
          <w:szCs w:val="24"/>
        </w:rPr>
        <w:t>Plaintiff</w:t>
      </w:r>
      <w:r w:rsidR="00ED3914" w:rsidRPr="00863BB4">
        <w:rPr>
          <w:szCs w:val="24"/>
        </w:rPr>
        <w:t xml:space="preserve"> </w:t>
      </w:r>
      <w:r w:rsidR="00C21421" w:rsidRPr="00863BB4">
        <w:rPr>
          <w:szCs w:val="24"/>
        </w:rPr>
        <w:t>is</w:t>
      </w:r>
      <w:r w:rsidR="00ED3914" w:rsidRPr="00863BB4">
        <w:rPr>
          <w:szCs w:val="24"/>
        </w:rPr>
        <w:t xml:space="preserve"> entitled to visit the Digital Properties at any time,</w:t>
      </w:r>
      <w:r w:rsidR="00C21421" w:rsidRPr="00863BB4">
        <w:rPr>
          <w:szCs w:val="24"/>
        </w:rPr>
        <w:t xml:space="preserve"> </w:t>
      </w:r>
      <w:r w:rsidR="00ED3914" w:rsidRPr="00863BB4">
        <w:rPr>
          <w:szCs w:val="24"/>
        </w:rPr>
        <w:t xml:space="preserve">without notice to Defendant, </w:t>
      </w:r>
      <w:r w:rsidR="00863BB4" w:rsidRPr="00863BB4">
        <w:rPr>
          <w:szCs w:val="24"/>
        </w:rPr>
        <w:t>for the purpose of evaluating</w:t>
      </w:r>
      <w:r w:rsidR="00ED3914" w:rsidRPr="00863BB4">
        <w:rPr>
          <w:szCs w:val="24"/>
        </w:rPr>
        <w:t xml:space="preserve"> Defendant</w:t>
      </w:r>
      <w:r w:rsidR="006B317C" w:rsidRPr="00863BB4">
        <w:rPr>
          <w:szCs w:val="24"/>
        </w:rPr>
        <w:t>’</w:t>
      </w:r>
      <w:r w:rsidR="00ED3914" w:rsidRPr="00863BB4">
        <w:rPr>
          <w:szCs w:val="24"/>
        </w:rPr>
        <w:t xml:space="preserve">s compliance </w:t>
      </w:r>
      <w:r w:rsidR="003F0056" w:rsidRPr="00863BB4">
        <w:rPr>
          <w:szCs w:val="24"/>
        </w:rPr>
        <w:t>with the Agreement.</w:t>
      </w:r>
      <w:r w:rsidR="00C21421" w:rsidRPr="00863BB4">
        <w:rPr>
          <w:szCs w:val="24"/>
        </w:rPr>
        <w:t xml:space="preserve"> (</w:t>
      </w:r>
      <w:r w:rsidR="00863BB4" w:rsidRPr="00863BB4">
        <w:rPr>
          <w:szCs w:val="24"/>
        </w:rPr>
        <w:t xml:space="preserve">Ex. </w:t>
      </w:r>
      <w:r w:rsidR="00C21421" w:rsidRPr="00863BB4">
        <w:rPr>
          <w:szCs w:val="24"/>
        </w:rPr>
        <w:t xml:space="preserve">1, § </w:t>
      </w:r>
      <w:r w:rsidR="003311B7" w:rsidRPr="00863BB4">
        <w:rPr>
          <w:szCs w:val="24"/>
        </w:rPr>
        <w:t>1</w:t>
      </w:r>
      <w:r w:rsidR="00863BB4" w:rsidRPr="00863BB4">
        <w:rPr>
          <w:szCs w:val="24"/>
        </w:rPr>
        <w:t>7</w:t>
      </w:r>
      <w:r w:rsidR="003311B7" w:rsidRPr="00863BB4">
        <w:rPr>
          <w:szCs w:val="24"/>
        </w:rPr>
        <w:t>.1</w:t>
      </w:r>
      <w:r w:rsidR="00C21421" w:rsidRPr="00863BB4">
        <w:rPr>
          <w:szCs w:val="24"/>
        </w:rPr>
        <w:t>.)</w:t>
      </w:r>
    </w:p>
    <w:p w14:paraId="0C7091E2" w14:textId="2C64FA0C" w:rsidR="00924287" w:rsidRPr="00B019B9" w:rsidRDefault="00924287" w:rsidP="006C7448">
      <w:pPr>
        <w:pStyle w:val="ListParagraph"/>
        <w:keepNext/>
        <w:widowControl w:val="0"/>
        <w:numPr>
          <w:ilvl w:val="2"/>
          <w:numId w:val="1"/>
        </w:numPr>
        <w:spacing w:after="240"/>
        <w:ind w:left="0" w:right="720" w:firstLine="1440"/>
        <w:contextualSpacing w:val="0"/>
        <w:rPr>
          <w:b/>
          <w:bCs/>
          <w:szCs w:val="24"/>
        </w:rPr>
      </w:pPr>
      <w:r w:rsidRPr="00B019B9">
        <w:rPr>
          <w:b/>
          <w:bCs/>
          <w:iCs/>
          <w:szCs w:val="24"/>
        </w:rPr>
        <w:t xml:space="preserve">Enforcement </w:t>
      </w:r>
      <w:r w:rsidR="0038007D" w:rsidRPr="00B019B9">
        <w:rPr>
          <w:b/>
          <w:bCs/>
          <w:iCs/>
          <w:szCs w:val="24"/>
        </w:rPr>
        <w:t xml:space="preserve">And </w:t>
      </w:r>
      <w:r w:rsidRPr="00B019B9">
        <w:rPr>
          <w:b/>
          <w:bCs/>
          <w:iCs/>
          <w:szCs w:val="24"/>
        </w:rPr>
        <w:t>Dispute Resolution</w:t>
      </w:r>
    </w:p>
    <w:p w14:paraId="550E9C5C" w14:textId="29CD6FE6" w:rsidR="00402834" w:rsidRPr="00662BD5" w:rsidRDefault="00663E18" w:rsidP="006C7448">
      <w:pPr>
        <w:widowControl w:val="0"/>
        <w:spacing w:line="480" w:lineRule="auto"/>
        <w:ind w:firstLine="720"/>
        <w:jc w:val="both"/>
        <w:rPr>
          <w:szCs w:val="24"/>
          <w:highlight w:val="yellow"/>
        </w:rPr>
      </w:pPr>
      <w:r w:rsidRPr="00A22C09">
        <w:rPr>
          <w:szCs w:val="24"/>
        </w:rPr>
        <w:t>While</w:t>
      </w:r>
      <w:r w:rsidR="00B46D8A" w:rsidRPr="00A22C09">
        <w:rPr>
          <w:szCs w:val="24"/>
        </w:rPr>
        <w:t xml:space="preserve"> the parties will move to dismiss this </w:t>
      </w:r>
      <w:r w:rsidRPr="00A22C09">
        <w:rPr>
          <w:szCs w:val="24"/>
        </w:rPr>
        <w:t>action</w:t>
      </w:r>
      <w:r w:rsidR="00B46D8A" w:rsidRPr="00A22C09">
        <w:rPr>
          <w:szCs w:val="24"/>
        </w:rPr>
        <w:t xml:space="preserve"> with prejudice under Fed. R. Civ. P. 41, they request that the Court’s dismissal order expressly retain the Court’s jurisdiction to enforce the </w:t>
      </w:r>
      <w:r w:rsidR="00B46D8A" w:rsidRPr="00B412FA">
        <w:rPr>
          <w:szCs w:val="24"/>
        </w:rPr>
        <w:t xml:space="preserve">Agreement pursuant to </w:t>
      </w:r>
      <w:r w:rsidR="00B46D8A" w:rsidRPr="00B412FA">
        <w:rPr>
          <w:i/>
          <w:iCs/>
          <w:szCs w:val="24"/>
        </w:rPr>
        <w:t xml:space="preserve">Kokkonen v. Guardian Life Ins. Co. </w:t>
      </w:r>
      <w:r w:rsidR="00AC3A5E" w:rsidRPr="00B412FA">
        <w:rPr>
          <w:i/>
          <w:iCs/>
          <w:szCs w:val="24"/>
        </w:rPr>
        <w:t>O</w:t>
      </w:r>
      <w:r w:rsidR="00B46D8A" w:rsidRPr="00B412FA">
        <w:rPr>
          <w:i/>
          <w:iCs/>
          <w:szCs w:val="24"/>
        </w:rPr>
        <w:t>f Am</w:t>
      </w:r>
      <w:r w:rsidR="00B46D8A" w:rsidRPr="00B412FA">
        <w:rPr>
          <w:szCs w:val="24"/>
        </w:rPr>
        <w:t>., 511 U.S. 375 (1994).</w:t>
      </w:r>
      <w:r w:rsidR="00A22C09" w:rsidRPr="00B412FA">
        <w:rPr>
          <w:szCs w:val="24"/>
        </w:rPr>
        <w:t xml:space="preserve"> </w:t>
      </w:r>
      <w:r w:rsidR="00B46D8A" w:rsidRPr="00B412FA">
        <w:rPr>
          <w:szCs w:val="24"/>
        </w:rPr>
        <w:t>(</w:t>
      </w:r>
      <w:r w:rsidR="00A22C09" w:rsidRPr="00B412FA">
        <w:rPr>
          <w:szCs w:val="24"/>
        </w:rPr>
        <w:t>Ex</w:t>
      </w:r>
      <w:r w:rsidR="00B46D8A" w:rsidRPr="00B412FA">
        <w:rPr>
          <w:szCs w:val="24"/>
        </w:rPr>
        <w:t xml:space="preserve">. </w:t>
      </w:r>
      <w:r w:rsidR="00A22C09" w:rsidRPr="00B412FA">
        <w:rPr>
          <w:szCs w:val="24"/>
        </w:rPr>
        <w:t>1</w:t>
      </w:r>
      <w:r w:rsidR="00B46D8A" w:rsidRPr="00B412FA">
        <w:rPr>
          <w:szCs w:val="24"/>
        </w:rPr>
        <w:t xml:space="preserve">, §§ </w:t>
      </w:r>
      <w:r w:rsidRPr="00B412FA">
        <w:rPr>
          <w:szCs w:val="24"/>
        </w:rPr>
        <w:t>2</w:t>
      </w:r>
      <w:r w:rsidR="00A22C09" w:rsidRPr="00B412FA">
        <w:rPr>
          <w:szCs w:val="24"/>
        </w:rPr>
        <w:t>6.2</w:t>
      </w:r>
      <w:r w:rsidRPr="00B412FA">
        <w:rPr>
          <w:szCs w:val="24"/>
        </w:rPr>
        <w:t>, 3</w:t>
      </w:r>
      <w:r w:rsidR="00B412FA" w:rsidRPr="00B412FA">
        <w:rPr>
          <w:szCs w:val="24"/>
        </w:rPr>
        <w:t>5</w:t>
      </w:r>
      <w:r w:rsidR="00B46D8A" w:rsidRPr="00B412FA">
        <w:rPr>
          <w:szCs w:val="24"/>
        </w:rPr>
        <w:t xml:space="preserve">.) </w:t>
      </w:r>
      <w:r w:rsidR="00E7085E">
        <w:rPr>
          <w:szCs w:val="24"/>
        </w:rPr>
        <w:t>T</w:t>
      </w:r>
      <w:r w:rsidR="00F115B8" w:rsidRPr="00B412FA">
        <w:rPr>
          <w:szCs w:val="24"/>
        </w:rPr>
        <w:t xml:space="preserve">he parties </w:t>
      </w:r>
      <w:r w:rsidR="00E7085E">
        <w:rPr>
          <w:szCs w:val="24"/>
        </w:rPr>
        <w:t>must</w:t>
      </w:r>
      <w:r w:rsidR="00CA2EAC" w:rsidRPr="00B412FA">
        <w:rPr>
          <w:szCs w:val="24"/>
        </w:rPr>
        <w:t xml:space="preserve"> </w:t>
      </w:r>
      <w:r w:rsidR="0075342C">
        <w:rPr>
          <w:szCs w:val="24"/>
        </w:rPr>
        <w:t>attempt</w:t>
      </w:r>
      <w:r w:rsidR="00F115B8" w:rsidRPr="00B412FA">
        <w:rPr>
          <w:szCs w:val="24"/>
        </w:rPr>
        <w:t xml:space="preserve"> to resolve disputes relating to the </w:t>
      </w:r>
      <w:r w:rsidR="00B934B2">
        <w:rPr>
          <w:szCs w:val="24"/>
        </w:rPr>
        <w:t xml:space="preserve">terms of the </w:t>
      </w:r>
      <w:r w:rsidR="00F115B8" w:rsidRPr="00B412FA">
        <w:rPr>
          <w:szCs w:val="24"/>
        </w:rPr>
        <w:t xml:space="preserve">Agreement </w:t>
      </w:r>
      <w:r w:rsidR="007636D3" w:rsidRPr="00B412FA">
        <w:rPr>
          <w:szCs w:val="24"/>
        </w:rPr>
        <w:t>through</w:t>
      </w:r>
      <w:r w:rsidR="00F115B8" w:rsidRPr="00B412FA">
        <w:rPr>
          <w:szCs w:val="24"/>
        </w:rPr>
        <w:t xml:space="preserve"> meet-and-confer negotiations and, if unsuccessful, mediation </w:t>
      </w:r>
      <w:r w:rsidR="00B749C5" w:rsidRPr="00B412FA">
        <w:rPr>
          <w:szCs w:val="24"/>
        </w:rPr>
        <w:t xml:space="preserve">before submitting any </w:t>
      </w:r>
      <w:r w:rsidR="007636D3" w:rsidRPr="00B412FA">
        <w:rPr>
          <w:szCs w:val="24"/>
        </w:rPr>
        <w:t>dispute</w:t>
      </w:r>
      <w:r w:rsidR="00B749C5" w:rsidRPr="00B412FA">
        <w:rPr>
          <w:szCs w:val="24"/>
        </w:rPr>
        <w:t xml:space="preserve"> to the Court</w:t>
      </w:r>
      <w:r w:rsidR="00EA624D" w:rsidRPr="00B412FA">
        <w:rPr>
          <w:szCs w:val="24"/>
        </w:rPr>
        <w:t>. (</w:t>
      </w:r>
      <w:r w:rsidR="00EA624D" w:rsidRPr="00B412FA">
        <w:rPr>
          <w:i/>
          <w:iCs/>
          <w:szCs w:val="24"/>
        </w:rPr>
        <w:t>Id</w:t>
      </w:r>
      <w:r w:rsidR="00EA624D" w:rsidRPr="00B412FA">
        <w:rPr>
          <w:szCs w:val="24"/>
        </w:rPr>
        <w:t xml:space="preserve">., § </w:t>
      </w:r>
      <w:r w:rsidR="004D78FC" w:rsidRPr="00B412FA">
        <w:rPr>
          <w:szCs w:val="24"/>
        </w:rPr>
        <w:t>2</w:t>
      </w:r>
      <w:r w:rsidR="00B412FA" w:rsidRPr="00B412FA">
        <w:rPr>
          <w:szCs w:val="24"/>
        </w:rPr>
        <w:t>2</w:t>
      </w:r>
      <w:r w:rsidR="00EA624D" w:rsidRPr="00B412FA">
        <w:rPr>
          <w:szCs w:val="24"/>
        </w:rPr>
        <w:t>.)</w:t>
      </w:r>
    </w:p>
    <w:p w14:paraId="31B3A586" w14:textId="3975E6F9" w:rsidR="009B5B96" w:rsidRPr="001C5103" w:rsidRDefault="009B5B96" w:rsidP="006C7448">
      <w:pPr>
        <w:pStyle w:val="ListParagraph"/>
        <w:keepNext/>
        <w:widowControl w:val="0"/>
        <w:numPr>
          <w:ilvl w:val="1"/>
          <w:numId w:val="1"/>
        </w:numPr>
        <w:spacing w:after="240"/>
        <w:ind w:right="720" w:hanging="720"/>
        <w:contextualSpacing w:val="0"/>
        <w:rPr>
          <w:b/>
          <w:bCs/>
          <w:szCs w:val="24"/>
        </w:rPr>
      </w:pPr>
      <w:bookmarkStart w:id="6" w:name="_Hlk44948351"/>
      <w:r w:rsidRPr="001C5103">
        <w:rPr>
          <w:b/>
          <w:bCs/>
          <w:szCs w:val="24"/>
        </w:rPr>
        <w:t xml:space="preserve">Incentive Award </w:t>
      </w:r>
      <w:r w:rsidR="0038007D" w:rsidRPr="001C5103">
        <w:rPr>
          <w:b/>
          <w:bCs/>
          <w:szCs w:val="24"/>
        </w:rPr>
        <w:t xml:space="preserve">For </w:t>
      </w:r>
      <w:r w:rsidR="008F37C0" w:rsidRPr="001C5103">
        <w:rPr>
          <w:b/>
          <w:bCs/>
          <w:szCs w:val="24"/>
        </w:rPr>
        <w:t>Plaintiff</w:t>
      </w:r>
    </w:p>
    <w:p w14:paraId="599D6FEC" w14:textId="48AC5850" w:rsidR="009B5B96" w:rsidRPr="00356E88" w:rsidRDefault="00047217" w:rsidP="006C7448">
      <w:pPr>
        <w:widowControl w:val="0"/>
        <w:spacing w:line="480" w:lineRule="auto"/>
        <w:ind w:firstLine="720"/>
        <w:jc w:val="both"/>
        <w:rPr>
          <w:szCs w:val="24"/>
        </w:rPr>
      </w:pPr>
      <w:r w:rsidRPr="00356E88">
        <w:rPr>
          <w:szCs w:val="24"/>
        </w:rPr>
        <w:t>If approved by the Court</w:t>
      </w:r>
      <w:r w:rsidR="00D43B1E" w:rsidRPr="00356E88">
        <w:rPr>
          <w:szCs w:val="24"/>
        </w:rPr>
        <w:t xml:space="preserve">, Defendant will pay an incentive award </w:t>
      </w:r>
      <w:r w:rsidRPr="00356E88">
        <w:rPr>
          <w:szCs w:val="24"/>
        </w:rPr>
        <w:t>of $1,</w:t>
      </w:r>
      <w:r w:rsidR="00210B37" w:rsidRPr="00356E88">
        <w:rPr>
          <w:szCs w:val="24"/>
        </w:rPr>
        <w:t>5</w:t>
      </w:r>
      <w:r w:rsidRPr="00356E88">
        <w:rPr>
          <w:szCs w:val="24"/>
        </w:rPr>
        <w:t xml:space="preserve">00.00 </w:t>
      </w:r>
      <w:r w:rsidR="00D43B1E" w:rsidRPr="00356E88">
        <w:rPr>
          <w:szCs w:val="24"/>
        </w:rPr>
        <w:t>to Plaintiff.</w:t>
      </w:r>
      <w:r w:rsidRPr="00356E88">
        <w:rPr>
          <w:szCs w:val="24"/>
        </w:rPr>
        <w:t xml:space="preserve"> </w:t>
      </w:r>
      <w:r w:rsidR="00D43B1E" w:rsidRPr="00356E88">
        <w:rPr>
          <w:szCs w:val="24"/>
        </w:rPr>
        <w:t>(</w:t>
      </w:r>
      <w:r w:rsidR="00210B37" w:rsidRPr="00356E88">
        <w:rPr>
          <w:szCs w:val="24"/>
        </w:rPr>
        <w:t>Ex</w:t>
      </w:r>
      <w:r w:rsidR="00D43B1E" w:rsidRPr="00356E88">
        <w:rPr>
          <w:szCs w:val="24"/>
        </w:rPr>
        <w:t xml:space="preserve">. 1, § </w:t>
      </w:r>
      <w:r w:rsidRPr="00356E88">
        <w:rPr>
          <w:szCs w:val="24"/>
        </w:rPr>
        <w:t>2</w:t>
      </w:r>
      <w:r w:rsidR="00210B37" w:rsidRPr="00356E88">
        <w:rPr>
          <w:szCs w:val="24"/>
        </w:rPr>
        <w:t>0</w:t>
      </w:r>
      <w:r w:rsidRPr="00356E88">
        <w:rPr>
          <w:szCs w:val="24"/>
        </w:rPr>
        <w:t>.1</w:t>
      </w:r>
      <w:r w:rsidR="00D43B1E" w:rsidRPr="00356E88">
        <w:rPr>
          <w:szCs w:val="24"/>
        </w:rPr>
        <w:t xml:space="preserve">.) </w:t>
      </w:r>
      <w:r w:rsidR="00D84FFA">
        <w:rPr>
          <w:szCs w:val="24"/>
        </w:rPr>
        <w:t xml:space="preserve">Plaintiff has waived any right to an incentive award in connection with this </w:t>
      </w:r>
      <w:r w:rsidR="003B3B00">
        <w:rPr>
          <w:szCs w:val="24"/>
        </w:rPr>
        <w:t>matter</w:t>
      </w:r>
      <w:r w:rsidR="00D84FFA">
        <w:rPr>
          <w:szCs w:val="24"/>
        </w:rPr>
        <w:t xml:space="preserve"> that exceeds </w:t>
      </w:r>
      <w:r w:rsidR="00DF2F63" w:rsidRPr="00356E88">
        <w:rPr>
          <w:szCs w:val="24"/>
        </w:rPr>
        <w:t>$1,500.00</w:t>
      </w:r>
      <w:r w:rsidR="00D84FFA">
        <w:rPr>
          <w:szCs w:val="24"/>
        </w:rPr>
        <w:t>. (</w:t>
      </w:r>
      <w:r w:rsidR="00D84FFA" w:rsidRPr="00D84FFA">
        <w:rPr>
          <w:i/>
          <w:iCs/>
          <w:szCs w:val="24"/>
        </w:rPr>
        <w:t>Id</w:t>
      </w:r>
      <w:r w:rsidR="00D84FFA">
        <w:rPr>
          <w:szCs w:val="24"/>
        </w:rPr>
        <w:t>., § 20.2.)</w:t>
      </w:r>
      <w:r w:rsidR="001D797E" w:rsidRPr="00356E88">
        <w:rPr>
          <w:szCs w:val="24"/>
        </w:rPr>
        <w:t xml:space="preserve"> </w:t>
      </w:r>
      <w:r w:rsidR="00050DEF" w:rsidRPr="00356E88">
        <w:rPr>
          <w:i/>
          <w:iCs/>
          <w:szCs w:val="24"/>
        </w:rPr>
        <w:t>S</w:t>
      </w:r>
      <w:r w:rsidR="00070AF3" w:rsidRPr="00356E88">
        <w:rPr>
          <w:i/>
          <w:iCs/>
          <w:szCs w:val="24"/>
        </w:rPr>
        <w:t>ee</w:t>
      </w:r>
      <w:r w:rsidR="00D84FFA" w:rsidRPr="00D84FFA">
        <w:t xml:space="preserve"> </w:t>
      </w:r>
      <w:r w:rsidR="00070AF3" w:rsidRPr="00356E88">
        <w:rPr>
          <w:i/>
          <w:iCs/>
          <w:szCs w:val="24"/>
        </w:rPr>
        <w:t>Flynn v. Concord Hosp</w:t>
      </w:r>
      <w:r w:rsidR="001F5489" w:rsidRPr="00356E88">
        <w:rPr>
          <w:i/>
          <w:iCs/>
          <w:szCs w:val="24"/>
        </w:rPr>
        <w:t>.</w:t>
      </w:r>
      <w:r w:rsidR="00070AF3" w:rsidRPr="00356E88">
        <w:rPr>
          <w:i/>
          <w:iCs/>
          <w:szCs w:val="24"/>
        </w:rPr>
        <w:t xml:space="preserve"> Enters. Co.</w:t>
      </w:r>
      <w:r w:rsidR="00070AF3" w:rsidRPr="00356E88">
        <w:rPr>
          <w:szCs w:val="24"/>
        </w:rPr>
        <w:t>, No. 2:17-cv-01618, Doc. 4</w:t>
      </w:r>
      <w:r w:rsidR="00BB5F14" w:rsidRPr="00356E88">
        <w:rPr>
          <w:szCs w:val="24"/>
        </w:rPr>
        <w:t>2</w:t>
      </w:r>
      <w:r w:rsidR="00070AF3" w:rsidRPr="00356E88">
        <w:rPr>
          <w:szCs w:val="24"/>
        </w:rPr>
        <w:t xml:space="preserve">, ¶ </w:t>
      </w:r>
      <w:r w:rsidR="00BB5F14" w:rsidRPr="00356E88">
        <w:rPr>
          <w:szCs w:val="24"/>
        </w:rPr>
        <w:t>10</w:t>
      </w:r>
      <w:r w:rsidR="00070AF3" w:rsidRPr="00356E88">
        <w:rPr>
          <w:szCs w:val="24"/>
        </w:rPr>
        <w:t xml:space="preserve"> (</w:t>
      </w:r>
      <w:r w:rsidR="00BB5F14" w:rsidRPr="00356E88">
        <w:rPr>
          <w:szCs w:val="24"/>
        </w:rPr>
        <w:t>W.D. Pa. Nov. 27, 2018</w:t>
      </w:r>
      <w:r w:rsidR="00070AF3" w:rsidRPr="00356E88">
        <w:rPr>
          <w:szCs w:val="24"/>
        </w:rPr>
        <w:t xml:space="preserve">) (approving $1,500.00 incentive award </w:t>
      </w:r>
      <w:r w:rsidR="00CF7617">
        <w:rPr>
          <w:szCs w:val="24"/>
        </w:rPr>
        <w:t xml:space="preserve">to plaintiff as part of </w:t>
      </w:r>
      <w:r w:rsidR="00070AF3" w:rsidRPr="00356E88">
        <w:rPr>
          <w:szCs w:val="24"/>
        </w:rPr>
        <w:t>class</w:t>
      </w:r>
      <w:r w:rsidR="00DF76E9" w:rsidRPr="00356E88">
        <w:rPr>
          <w:szCs w:val="24"/>
        </w:rPr>
        <w:t xml:space="preserve"> </w:t>
      </w:r>
      <w:r w:rsidR="00CF7617">
        <w:rPr>
          <w:szCs w:val="24"/>
        </w:rPr>
        <w:t xml:space="preserve">action </w:t>
      </w:r>
      <w:r w:rsidR="00070AF3" w:rsidRPr="00356E88">
        <w:rPr>
          <w:szCs w:val="24"/>
        </w:rPr>
        <w:t xml:space="preserve">settlement </w:t>
      </w:r>
      <w:r w:rsidR="00EA428A" w:rsidRPr="00356E88">
        <w:rPr>
          <w:szCs w:val="24"/>
        </w:rPr>
        <w:t>resolving</w:t>
      </w:r>
      <w:r w:rsidR="00070AF3" w:rsidRPr="00356E88">
        <w:rPr>
          <w:szCs w:val="24"/>
        </w:rPr>
        <w:t xml:space="preserve"> </w:t>
      </w:r>
      <w:r w:rsidR="00CF7617">
        <w:rPr>
          <w:szCs w:val="24"/>
        </w:rPr>
        <w:t xml:space="preserve">nationwide </w:t>
      </w:r>
      <w:r w:rsidR="00070AF3" w:rsidRPr="00356E88">
        <w:rPr>
          <w:szCs w:val="24"/>
        </w:rPr>
        <w:t>ADA claims).</w:t>
      </w:r>
    </w:p>
    <w:p w14:paraId="3E79F327" w14:textId="2D126D8C" w:rsidR="00924287" w:rsidRPr="001C5103" w:rsidRDefault="00924287" w:rsidP="006C7448">
      <w:pPr>
        <w:pStyle w:val="ListParagraph"/>
        <w:keepNext/>
        <w:widowControl w:val="0"/>
        <w:numPr>
          <w:ilvl w:val="1"/>
          <w:numId w:val="1"/>
        </w:numPr>
        <w:spacing w:after="240"/>
        <w:ind w:right="720" w:hanging="720"/>
        <w:contextualSpacing w:val="0"/>
        <w:rPr>
          <w:b/>
          <w:bCs/>
          <w:szCs w:val="24"/>
        </w:rPr>
      </w:pPr>
      <w:r w:rsidRPr="001C5103">
        <w:rPr>
          <w:b/>
          <w:bCs/>
          <w:iCs/>
          <w:szCs w:val="24"/>
        </w:rPr>
        <w:t>Attorneys</w:t>
      </w:r>
      <w:r w:rsidR="006B317C" w:rsidRPr="001C5103">
        <w:rPr>
          <w:b/>
          <w:bCs/>
          <w:iCs/>
          <w:szCs w:val="24"/>
        </w:rPr>
        <w:t>’</w:t>
      </w:r>
      <w:r w:rsidRPr="001C5103">
        <w:rPr>
          <w:b/>
          <w:bCs/>
          <w:iCs/>
          <w:szCs w:val="24"/>
        </w:rPr>
        <w:t xml:space="preserve"> Fees </w:t>
      </w:r>
      <w:r w:rsidR="0038007D" w:rsidRPr="001C5103">
        <w:rPr>
          <w:b/>
          <w:bCs/>
          <w:iCs/>
          <w:szCs w:val="24"/>
        </w:rPr>
        <w:t xml:space="preserve">And </w:t>
      </w:r>
      <w:r w:rsidRPr="001C5103">
        <w:rPr>
          <w:b/>
          <w:bCs/>
          <w:iCs/>
          <w:szCs w:val="24"/>
        </w:rPr>
        <w:t>Costs</w:t>
      </w:r>
    </w:p>
    <w:bookmarkEnd w:id="6"/>
    <w:p w14:paraId="1104BF1D" w14:textId="74707418" w:rsidR="00803BC2" w:rsidRPr="00813F05" w:rsidRDefault="00F945C3" w:rsidP="006C7448">
      <w:pPr>
        <w:pStyle w:val="ListParagraph"/>
        <w:widowControl w:val="0"/>
        <w:spacing w:line="480" w:lineRule="auto"/>
        <w:ind w:left="0" w:firstLine="720"/>
        <w:contextualSpacing w:val="0"/>
        <w:jc w:val="both"/>
        <w:rPr>
          <w:i/>
          <w:iCs/>
          <w:szCs w:val="24"/>
        </w:rPr>
      </w:pPr>
      <w:r w:rsidRPr="00813F05">
        <w:rPr>
          <w:szCs w:val="24"/>
        </w:rPr>
        <w:t>If approved</w:t>
      </w:r>
      <w:r w:rsidR="009325DB">
        <w:rPr>
          <w:szCs w:val="24"/>
        </w:rPr>
        <w:t xml:space="preserve"> by the Court</w:t>
      </w:r>
      <w:r w:rsidRPr="00813F05">
        <w:rPr>
          <w:szCs w:val="24"/>
        </w:rPr>
        <w:t xml:space="preserve">, </w:t>
      </w:r>
      <w:r w:rsidR="00C21421" w:rsidRPr="00813F05">
        <w:rPr>
          <w:szCs w:val="24"/>
        </w:rPr>
        <w:t xml:space="preserve">Defendant </w:t>
      </w:r>
      <w:r w:rsidR="00890096" w:rsidRPr="00813F05">
        <w:rPr>
          <w:szCs w:val="24"/>
        </w:rPr>
        <w:t>will</w:t>
      </w:r>
      <w:r w:rsidR="00C84497" w:rsidRPr="00813F05">
        <w:rPr>
          <w:szCs w:val="24"/>
        </w:rPr>
        <w:t xml:space="preserve"> pay Plaintiff’s attorneys’ fees and costs in</w:t>
      </w:r>
      <w:r w:rsidR="00890096" w:rsidRPr="00813F05">
        <w:rPr>
          <w:szCs w:val="24"/>
        </w:rPr>
        <w:t>curred in</w:t>
      </w:r>
      <w:r w:rsidR="003722F9" w:rsidRPr="00813F05">
        <w:rPr>
          <w:szCs w:val="24"/>
        </w:rPr>
        <w:t xml:space="preserve"> </w:t>
      </w:r>
      <w:r w:rsidR="00102F5F" w:rsidRPr="00813F05">
        <w:rPr>
          <w:szCs w:val="24"/>
        </w:rPr>
        <w:t xml:space="preserve">connection with </w:t>
      </w:r>
      <w:r w:rsidR="00890096" w:rsidRPr="00813F05">
        <w:rPr>
          <w:szCs w:val="24"/>
        </w:rPr>
        <w:t xml:space="preserve">this </w:t>
      </w:r>
      <w:r w:rsidR="00B0048F">
        <w:rPr>
          <w:szCs w:val="24"/>
        </w:rPr>
        <w:t>matter</w:t>
      </w:r>
      <w:r w:rsidR="00AD267B" w:rsidRPr="00813F05">
        <w:rPr>
          <w:szCs w:val="24"/>
        </w:rPr>
        <w:t xml:space="preserve"> in</w:t>
      </w:r>
      <w:r w:rsidR="00C84497" w:rsidRPr="00813F05">
        <w:rPr>
          <w:szCs w:val="24"/>
        </w:rPr>
        <w:t xml:space="preserve"> the amount of $7</w:t>
      </w:r>
      <w:r w:rsidR="0063568C" w:rsidRPr="00813F05">
        <w:rPr>
          <w:szCs w:val="24"/>
        </w:rPr>
        <w:t>3</w:t>
      </w:r>
      <w:r w:rsidR="00C84497" w:rsidRPr="00813F05">
        <w:rPr>
          <w:szCs w:val="24"/>
        </w:rPr>
        <w:t>,500.00. (</w:t>
      </w:r>
      <w:r w:rsidR="0063568C" w:rsidRPr="00813F05">
        <w:rPr>
          <w:szCs w:val="24"/>
        </w:rPr>
        <w:t>Ex</w:t>
      </w:r>
      <w:r w:rsidR="00C84497" w:rsidRPr="00813F05">
        <w:rPr>
          <w:szCs w:val="24"/>
        </w:rPr>
        <w:t>. 1, §</w:t>
      </w:r>
      <w:r w:rsidR="003722F9" w:rsidRPr="00813F05">
        <w:rPr>
          <w:szCs w:val="24"/>
        </w:rPr>
        <w:t xml:space="preserve"> </w:t>
      </w:r>
      <w:r w:rsidR="006F1768" w:rsidRPr="00813F05">
        <w:rPr>
          <w:szCs w:val="24"/>
        </w:rPr>
        <w:t>2</w:t>
      </w:r>
      <w:r w:rsidR="0063568C" w:rsidRPr="00813F05">
        <w:rPr>
          <w:szCs w:val="24"/>
        </w:rPr>
        <w:t>3</w:t>
      </w:r>
      <w:r w:rsidR="003722F9" w:rsidRPr="00813F05">
        <w:rPr>
          <w:szCs w:val="24"/>
        </w:rPr>
        <w:t>.</w:t>
      </w:r>
      <w:r w:rsidR="00C84497" w:rsidRPr="00813F05">
        <w:rPr>
          <w:szCs w:val="24"/>
        </w:rPr>
        <w:t>)</w:t>
      </w:r>
      <w:r w:rsidR="00276C4A" w:rsidRPr="00813F05">
        <w:rPr>
          <w:szCs w:val="24"/>
        </w:rPr>
        <w:t xml:space="preserve"> </w:t>
      </w:r>
      <w:bookmarkStart w:id="7" w:name="_Hlk44948519"/>
      <w:r w:rsidR="00A70B29" w:rsidRPr="00813F05">
        <w:rPr>
          <w:szCs w:val="24"/>
        </w:rPr>
        <w:t>A forthcoming fee petition will provide an overview of Plaintiff’s fees expended and costs incurred in th</w:t>
      </w:r>
      <w:r w:rsidR="009325DB">
        <w:rPr>
          <w:szCs w:val="24"/>
        </w:rPr>
        <w:t>is</w:t>
      </w:r>
      <w:r w:rsidR="00A70B29" w:rsidRPr="00813F05">
        <w:rPr>
          <w:szCs w:val="24"/>
        </w:rPr>
        <w:t xml:space="preserve"> litigation.</w:t>
      </w:r>
    </w:p>
    <w:p w14:paraId="1C1ADAAF" w14:textId="49A02ECA" w:rsidR="00075C2C" w:rsidRPr="001D27C1" w:rsidRDefault="00762262" w:rsidP="006C7448">
      <w:pPr>
        <w:pStyle w:val="ListParagraph"/>
        <w:keepNext/>
        <w:widowControl w:val="0"/>
        <w:numPr>
          <w:ilvl w:val="0"/>
          <w:numId w:val="2"/>
        </w:numPr>
        <w:spacing w:after="240"/>
        <w:ind w:left="0" w:right="720" w:firstLine="0"/>
        <w:contextualSpacing w:val="0"/>
        <w:rPr>
          <w:b/>
          <w:bCs/>
          <w:iCs/>
          <w:szCs w:val="24"/>
        </w:rPr>
      </w:pPr>
      <w:r w:rsidRPr="001D27C1">
        <w:rPr>
          <w:b/>
          <w:bCs/>
          <w:iCs/>
          <w:szCs w:val="24"/>
        </w:rPr>
        <w:t>LEGAL STANDARD</w:t>
      </w:r>
    </w:p>
    <w:p w14:paraId="45C4960D" w14:textId="30AC03EE" w:rsidR="00E86450" w:rsidRPr="00B57C4E" w:rsidRDefault="00AB7801" w:rsidP="006C7448">
      <w:pPr>
        <w:widowControl w:val="0"/>
        <w:spacing w:line="480" w:lineRule="auto"/>
        <w:ind w:firstLine="720"/>
        <w:jc w:val="both"/>
        <w:rPr>
          <w:iCs/>
          <w:szCs w:val="24"/>
        </w:rPr>
      </w:pPr>
      <w:r w:rsidRPr="00B57C4E">
        <w:rPr>
          <w:iCs/>
          <w:szCs w:val="24"/>
        </w:rPr>
        <w:t xml:space="preserve">“The claims . . . of a certified class—or a class proposed to be certified for </w:t>
      </w:r>
      <w:r w:rsidR="00A81B5D" w:rsidRPr="00B57C4E">
        <w:rPr>
          <w:iCs/>
          <w:szCs w:val="24"/>
        </w:rPr>
        <w:t xml:space="preserve">purposes of </w:t>
      </w:r>
      <w:r w:rsidRPr="00B57C4E">
        <w:rPr>
          <w:iCs/>
          <w:szCs w:val="24"/>
        </w:rPr>
        <w:t>settlement—may be settled</w:t>
      </w:r>
      <w:r w:rsidR="007440C3" w:rsidRPr="00B57C4E">
        <w:rPr>
          <w:iCs/>
          <w:szCs w:val="24"/>
        </w:rPr>
        <w:t xml:space="preserve"> . . .</w:t>
      </w:r>
      <w:r w:rsidRPr="00B57C4E">
        <w:rPr>
          <w:iCs/>
          <w:szCs w:val="24"/>
        </w:rPr>
        <w:t xml:space="preserve"> only with</w:t>
      </w:r>
      <w:r w:rsidR="009B11F8" w:rsidRPr="00B57C4E">
        <w:rPr>
          <w:iCs/>
          <w:szCs w:val="24"/>
        </w:rPr>
        <w:t xml:space="preserve"> the court’s approval</w:t>
      </w:r>
      <w:r w:rsidR="00A30C3B" w:rsidRPr="00B57C4E">
        <w:rPr>
          <w:iCs/>
          <w:szCs w:val="24"/>
        </w:rPr>
        <w:t>,</w:t>
      </w:r>
      <w:r w:rsidR="00A81B5D" w:rsidRPr="00B57C4E">
        <w:rPr>
          <w:iCs/>
          <w:szCs w:val="24"/>
        </w:rPr>
        <w:t>”</w:t>
      </w:r>
      <w:r w:rsidR="00A30C3B" w:rsidRPr="00B57C4E">
        <w:rPr>
          <w:iCs/>
          <w:szCs w:val="24"/>
        </w:rPr>
        <w:t xml:space="preserve"> which can be granted “only on finding that [the proposed settlement] is fair, reasonable, and adequate[.]”</w:t>
      </w:r>
      <w:r w:rsidR="00A81B5D" w:rsidRPr="00B57C4E">
        <w:rPr>
          <w:iCs/>
          <w:szCs w:val="24"/>
        </w:rPr>
        <w:t xml:space="preserve"> </w:t>
      </w:r>
      <w:r w:rsidR="005422F7" w:rsidRPr="00B57C4E">
        <w:rPr>
          <w:iCs/>
          <w:szCs w:val="24"/>
        </w:rPr>
        <w:t>Fed. R. Civ. P. 23(e)</w:t>
      </w:r>
      <w:r w:rsidR="00A81B5D" w:rsidRPr="00B57C4E">
        <w:rPr>
          <w:iCs/>
          <w:szCs w:val="24"/>
        </w:rPr>
        <w:t>.</w:t>
      </w:r>
      <w:r w:rsidR="0071481D">
        <w:rPr>
          <w:iCs/>
          <w:szCs w:val="24"/>
        </w:rPr>
        <w:t xml:space="preserve"> </w:t>
      </w:r>
      <w:r w:rsidR="009F70F7" w:rsidRPr="009F70F7">
        <w:rPr>
          <w:iCs/>
          <w:szCs w:val="24"/>
        </w:rPr>
        <w:lastRenderedPageBreak/>
        <w:t>“[P]</w:t>
      </w:r>
      <w:proofErr w:type="spellStart"/>
      <w:r w:rsidR="009F70F7" w:rsidRPr="009F70F7">
        <w:rPr>
          <w:iCs/>
          <w:szCs w:val="24"/>
        </w:rPr>
        <w:t>reliminary</w:t>
      </w:r>
      <w:proofErr w:type="spellEnd"/>
      <w:r w:rsidR="009F70F7" w:rsidRPr="009F70F7">
        <w:rPr>
          <w:iCs/>
          <w:szCs w:val="24"/>
        </w:rPr>
        <w:t xml:space="preserve"> approval is not simply a judicial ‘rubber stamp’ of the parties’ agreement.” </w:t>
      </w:r>
      <w:r w:rsidR="009F70F7" w:rsidRPr="00B57C4E">
        <w:rPr>
          <w:i/>
          <w:szCs w:val="24"/>
        </w:rPr>
        <w:t>In re NFL Players’ Concussion Injury Litig.</w:t>
      </w:r>
      <w:r w:rsidR="009F70F7" w:rsidRPr="00B57C4E">
        <w:rPr>
          <w:iCs/>
          <w:szCs w:val="24"/>
        </w:rPr>
        <w:t>, 961 F. Supp. 2d 708, 71</w:t>
      </w:r>
      <w:r w:rsidR="006B49EB">
        <w:rPr>
          <w:iCs/>
          <w:szCs w:val="24"/>
        </w:rPr>
        <w:t>4</w:t>
      </w:r>
      <w:r w:rsidR="009F70F7" w:rsidRPr="00B57C4E">
        <w:rPr>
          <w:iCs/>
          <w:szCs w:val="24"/>
        </w:rPr>
        <w:t xml:space="preserve"> (E.D. Pa. 2014)</w:t>
      </w:r>
      <w:r w:rsidR="009F70F7">
        <w:rPr>
          <w:iCs/>
          <w:szCs w:val="24"/>
        </w:rPr>
        <w:t xml:space="preserve">. </w:t>
      </w:r>
      <w:r w:rsidR="00C1018C" w:rsidRPr="00B57C4E">
        <w:rPr>
          <w:iCs/>
          <w:szCs w:val="24"/>
        </w:rPr>
        <w:t>“Judicial review must be exacting and thorough</w:t>
      </w:r>
      <w:r w:rsidR="0071481D">
        <w:rPr>
          <w:iCs/>
          <w:szCs w:val="24"/>
        </w:rPr>
        <w:t xml:space="preserve"> . . .</w:t>
      </w:r>
      <w:r w:rsidR="00B94B90">
        <w:rPr>
          <w:iCs/>
          <w:szCs w:val="24"/>
        </w:rPr>
        <w:t xml:space="preserve"> </w:t>
      </w:r>
      <w:r w:rsidR="00C1018C" w:rsidRPr="00B57C4E">
        <w:rPr>
          <w:iCs/>
          <w:szCs w:val="24"/>
        </w:rPr>
        <w:t xml:space="preserve">because the adversariness of litigation is often lost after the agreement to settle.” </w:t>
      </w:r>
      <w:r w:rsidR="00C1018C" w:rsidRPr="00B57C4E">
        <w:rPr>
          <w:i/>
          <w:iCs/>
          <w:szCs w:val="24"/>
        </w:rPr>
        <w:t>Id</w:t>
      </w:r>
      <w:r w:rsidR="00C1018C" w:rsidRPr="00B57C4E">
        <w:rPr>
          <w:szCs w:val="24"/>
        </w:rPr>
        <w:t xml:space="preserve">. at 714-15 (quoting </w:t>
      </w:r>
      <w:bookmarkStart w:id="8" w:name="_Hlk114553717"/>
      <w:r w:rsidR="00C1018C" w:rsidRPr="00B57C4E">
        <w:rPr>
          <w:szCs w:val="24"/>
        </w:rPr>
        <w:t>Manual for Complex Litigation (Fourth) § 21.61 (2004)</w:t>
      </w:r>
      <w:bookmarkEnd w:id="8"/>
      <w:r w:rsidR="00C1018C" w:rsidRPr="00B57C4E">
        <w:rPr>
          <w:szCs w:val="24"/>
        </w:rPr>
        <w:t>)</w:t>
      </w:r>
      <w:r w:rsidR="00C1018C" w:rsidRPr="00B57C4E">
        <w:rPr>
          <w:iCs/>
          <w:szCs w:val="24"/>
        </w:rPr>
        <w:t xml:space="preserve">. </w:t>
      </w:r>
      <w:r w:rsidR="007440C3" w:rsidRPr="00B57C4E">
        <w:rPr>
          <w:iCs/>
          <w:szCs w:val="24"/>
        </w:rPr>
        <w:t xml:space="preserve">“In cases such as this, where settlement negotiations precede class certification, and approval for settlement and certification are sought simultaneously, </w:t>
      </w:r>
      <w:r w:rsidR="00620EC5" w:rsidRPr="00B57C4E">
        <w:rPr>
          <w:iCs/>
          <w:szCs w:val="24"/>
        </w:rPr>
        <w:t>. . .</w:t>
      </w:r>
      <w:r w:rsidR="007440C3" w:rsidRPr="00B57C4E">
        <w:rPr>
          <w:iCs/>
          <w:szCs w:val="24"/>
        </w:rPr>
        <w:t xml:space="preserve"> courts </w:t>
      </w:r>
      <w:r w:rsidR="00620EC5" w:rsidRPr="00B57C4E">
        <w:rPr>
          <w:iCs/>
          <w:szCs w:val="24"/>
        </w:rPr>
        <w:t>[must]</w:t>
      </w:r>
      <w:r w:rsidR="007440C3" w:rsidRPr="00B57C4E">
        <w:rPr>
          <w:iCs/>
          <w:szCs w:val="24"/>
        </w:rPr>
        <w:t xml:space="preserve"> be even ‘more scrupulous than usual’ when examining the fairness of the proposed settlement.”</w:t>
      </w:r>
      <w:r w:rsidR="00620EC5" w:rsidRPr="00B57C4E">
        <w:rPr>
          <w:iCs/>
          <w:szCs w:val="24"/>
        </w:rPr>
        <w:t xml:space="preserve"> </w:t>
      </w:r>
      <w:r w:rsidR="00B94B90">
        <w:rPr>
          <w:i/>
          <w:szCs w:val="24"/>
        </w:rPr>
        <w:t>Id</w:t>
      </w:r>
      <w:r w:rsidR="000511D6" w:rsidRPr="00B94B90">
        <w:rPr>
          <w:iCs/>
          <w:szCs w:val="24"/>
        </w:rPr>
        <w:t>.</w:t>
      </w:r>
      <w:r w:rsidR="00B94B90" w:rsidRPr="00B94B90">
        <w:rPr>
          <w:iCs/>
          <w:szCs w:val="24"/>
        </w:rPr>
        <w:t xml:space="preserve"> at 715</w:t>
      </w:r>
      <w:r w:rsidR="007440C3" w:rsidRPr="00B94B90">
        <w:rPr>
          <w:iCs/>
          <w:szCs w:val="24"/>
        </w:rPr>
        <w:t xml:space="preserve"> (</w:t>
      </w:r>
      <w:r w:rsidR="007440C3" w:rsidRPr="00B57C4E">
        <w:rPr>
          <w:iCs/>
          <w:szCs w:val="24"/>
        </w:rPr>
        <w:t xml:space="preserve">quoting </w:t>
      </w:r>
      <w:r w:rsidR="007440C3" w:rsidRPr="00B57C4E">
        <w:rPr>
          <w:i/>
          <w:szCs w:val="24"/>
        </w:rPr>
        <w:t>In re Warfarin Sodium Antitrust Litig</w:t>
      </w:r>
      <w:r w:rsidR="007440C3" w:rsidRPr="00B57C4E">
        <w:rPr>
          <w:iCs/>
          <w:szCs w:val="24"/>
        </w:rPr>
        <w:t>., 391 F.3d 516, 534 (3d Cir. 2004)).</w:t>
      </w:r>
    </w:p>
    <w:p w14:paraId="6FE94A9C" w14:textId="1038B0CB" w:rsidR="00C027ED" w:rsidRPr="003D0B96" w:rsidRDefault="00762262" w:rsidP="006C7448">
      <w:pPr>
        <w:pStyle w:val="ListParagraph"/>
        <w:keepNext/>
        <w:widowControl w:val="0"/>
        <w:numPr>
          <w:ilvl w:val="0"/>
          <w:numId w:val="2"/>
        </w:numPr>
        <w:spacing w:after="240"/>
        <w:ind w:left="0" w:right="720" w:firstLine="0"/>
        <w:contextualSpacing w:val="0"/>
        <w:rPr>
          <w:b/>
          <w:bCs/>
          <w:iCs/>
          <w:szCs w:val="24"/>
        </w:rPr>
      </w:pPr>
      <w:r w:rsidRPr="003D0B96">
        <w:rPr>
          <w:b/>
          <w:bCs/>
          <w:iCs/>
          <w:szCs w:val="24"/>
        </w:rPr>
        <w:t>ARGUMENT</w:t>
      </w:r>
    </w:p>
    <w:p w14:paraId="1274FC2D" w14:textId="58521480" w:rsidR="00C027ED" w:rsidRPr="00B575FD" w:rsidRDefault="0066083B" w:rsidP="006C7448">
      <w:pPr>
        <w:widowControl w:val="0"/>
        <w:spacing w:line="480" w:lineRule="auto"/>
        <w:ind w:firstLine="720"/>
        <w:jc w:val="both"/>
        <w:rPr>
          <w:szCs w:val="24"/>
        </w:rPr>
      </w:pPr>
      <w:r w:rsidRPr="00B575FD">
        <w:rPr>
          <w:szCs w:val="24"/>
        </w:rPr>
        <w:t>To</w:t>
      </w:r>
      <w:r w:rsidR="00C027ED" w:rsidRPr="00B575FD">
        <w:rPr>
          <w:szCs w:val="24"/>
        </w:rPr>
        <w:t xml:space="preserve"> approv</w:t>
      </w:r>
      <w:r w:rsidRPr="00B575FD">
        <w:rPr>
          <w:szCs w:val="24"/>
        </w:rPr>
        <w:t>e</w:t>
      </w:r>
      <w:r w:rsidR="00C027ED" w:rsidRPr="00B575FD">
        <w:rPr>
          <w:szCs w:val="24"/>
        </w:rPr>
        <w:t xml:space="preserve"> a class settlement, </w:t>
      </w:r>
      <w:r w:rsidR="00D41C31" w:rsidRPr="00B575FD">
        <w:rPr>
          <w:szCs w:val="24"/>
        </w:rPr>
        <w:t>a</w:t>
      </w:r>
      <w:r w:rsidR="00C027ED" w:rsidRPr="00B575FD">
        <w:rPr>
          <w:szCs w:val="24"/>
        </w:rPr>
        <w:t xml:space="preserve"> </w:t>
      </w:r>
      <w:r w:rsidR="00D41C31" w:rsidRPr="00B575FD">
        <w:rPr>
          <w:szCs w:val="24"/>
        </w:rPr>
        <w:t>c</w:t>
      </w:r>
      <w:r w:rsidR="00C027ED" w:rsidRPr="00B575FD">
        <w:rPr>
          <w:szCs w:val="24"/>
        </w:rPr>
        <w:t xml:space="preserve">ourt must </w:t>
      </w:r>
      <w:r w:rsidR="008C65F0" w:rsidRPr="00B575FD">
        <w:rPr>
          <w:szCs w:val="24"/>
        </w:rPr>
        <w:t>find that</w:t>
      </w:r>
      <w:r w:rsidR="00C027ED" w:rsidRPr="00B575FD">
        <w:rPr>
          <w:szCs w:val="24"/>
        </w:rPr>
        <w:t>: (</w:t>
      </w:r>
      <w:r w:rsidR="00757B12">
        <w:rPr>
          <w:szCs w:val="24"/>
        </w:rPr>
        <w:t>a</w:t>
      </w:r>
      <w:r w:rsidR="00C027ED" w:rsidRPr="00B575FD">
        <w:rPr>
          <w:szCs w:val="24"/>
        </w:rPr>
        <w:t>) the class should be certified for settlement purposes; (</w:t>
      </w:r>
      <w:r w:rsidR="00757B12">
        <w:rPr>
          <w:szCs w:val="24"/>
        </w:rPr>
        <w:t>b</w:t>
      </w:r>
      <w:r w:rsidR="00C027ED" w:rsidRPr="00B575FD">
        <w:rPr>
          <w:szCs w:val="24"/>
        </w:rPr>
        <w:t>) the settlement is fair, reasonable, and adequate; and (</w:t>
      </w:r>
      <w:r w:rsidR="00757B12">
        <w:rPr>
          <w:szCs w:val="24"/>
        </w:rPr>
        <w:t>c</w:t>
      </w:r>
      <w:r w:rsidR="00C027ED" w:rsidRPr="00B575FD">
        <w:rPr>
          <w:szCs w:val="24"/>
        </w:rPr>
        <w:t xml:space="preserve">) the notice and notice plan </w:t>
      </w:r>
      <w:r w:rsidR="00A34996" w:rsidRPr="00B575FD">
        <w:rPr>
          <w:szCs w:val="24"/>
        </w:rPr>
        <w:t>me</w:t>
      </w:r>
      <w:r w:rsidR="00B575FD" w:rsidRPr="00B575FD">
        <w:rPr>
          <w:szCs w:val="24"/>
        </w:rPr>
        <w:t>e</w:t>
      </w:r>
      <w:r w:rsidR="00A34996" w:rsidRPr="00B575FD">
        <w:rPr>
          <w:szCs w:val="24"/>
        </w:rPr>
        <w:t>t</w:t>
      </w:r>
      <w:r w:rsidR="00C027ED" w:rsidRPr="00B575FD">
        <w:rPr>
          <w:szCs w:val="24"/>
        </w:rPr>
        <w:t xml:space="preserve"> due process requirements. </w:t>
      </w:r>
      <w:r w:rsidR="00EC4CB8" w:rsidRPr="00B575FD">
        <w:rPr>
          <w:szCs w:val="24"/>
        </w:rPr>
        <w:t>For the reasons stat</w:t>
      </w:r>
      <w:r w:rsidR="004204D2" w:rsidRPr="00B575FD">
        <w:rPr>
          <w:szCs w:val="24"/>
        </w:rPr>
        <w:t xml:space="preserve">ed </w:t>
      </w:r>
      <w:r w:rsidR="00C027ED" w:rsidRPr="00B575FD">
        <w:rPr>
          <w:szCs w:val="24"/>
        </w:rPr>
        <w:t>below, all of these requirements</w:t>
      </w:r>
      <w:r w:rsidR="00E90C36" w:rsidRPr="00B575FD">
        <w:rPr>
          <w:szCs w:val="24"/>
        </w:rPr>
        <w:t xml:space="preserve"> are met</w:t>
      </w:r>
      <w:r w:rsidR="00C027ED" w:rsidRPr="00B575FD">
        <w:rPr>
          <w:szCs w:val="24"/>
        </w:rPr>
        <w:t xml:space="preserve">. </w:t>
      </w:r>
      <w:r w:rsidR="00B954FD">
        <w:rPr>
          <w:szCs w:val="24"/>
        </w:rPr>
        <w:t>Thus</w:t>
      </w:r>
      <w:r w:rsidR="00C027ED" w:rsidRPr="00B575FD">
        <w:rPr>
          <w:szCs w:val="24"/>
        </w:rPr>
        <w:t xml:space="preserve">, </w:t>
      </w:r>
      <w:r w:rsidR="008F37C0" w:rsidRPr="00B575FD">
        <w:rPr>
          <w:szCs w:val="24"/>
        </w:rPr>
        <w:t xml:space="preserve">Plaintiff’s </w:t>
      </w:r>
      <w:r w:rsidR="00C027ED" w:rsidRPr="00B575FD">
        <w:rPr>
          <w:szCs w:val="24"/>
        </w:rPr>
        <w:t xml:space="preserve">request for </w:t>
      </w:r>
      <w:r w:rsidR="00B954FD">
        <w:rPr>
          <w:szCs w:val="24"/>
        </w:rPr>
        <w:t xml:space="preserve">class </w:t>
      </w:r>
      <w:r w:rsidRPr="00B575FD">
        <w:rPr>
          <w:szCs w:val="24"/>
        </w:rPr>
        <w:t xml:space="preserve">certification and </w:t>
      </w:r>
      <w:r w:rsidR="00B575FD" w:rsidRPr="00B575FD">
        <w:rPr>
          <w:szCs w:val="24"/>
        </w:rPr>
        <w:t>preliminary</w:t>
      </w:r>
      <w:r w:rsidR="00803BC2" w:rsidRPr="00B575FD">
        <w:rPr>
          <w:szCs w:val="24"/>
        </w:rPr>
        <w:t xml:space="preserve"> approval</w:t>
      </w:r>
      <w:r w:rsidR="00C027ED" w:rsidRPr="00B575FD">
        <w:rPr>
          <w:szCs w:val="24"/>
        </w:rPr>
        <w:t xml:space="preserve"> should be granted.</w:t>
      </w:r>
    </w:p>
    <w:bookmarkEnd w:id="7"/>
    <w:p w14:paraId="0DE57C48" w14:textId="78DC2A11" w:rsidR="002701E8" w:rsidRPr="00D302A6" w:rsidRDefault="002701E8" w:rsidP="006C7448">
      <w:pPr>
        <w:pStyle w:val="ListParagraph"/>
        <w:keepNext/>
        <w:widowControl w:val="0"/>
        <w:numPr>
          <w:ilvl w:val="0"/>
          <w:numId w:val="4"/>
        </w:numPr>
        <w:spacing w:after="240"/>
        <w:ind w:right="720" w:hanging="720"/>
        <w:contextualSpacing w:val="0"/>
        <w:rPr>
          <w:b/>
          <w:bCs/>
          <w:szCs w:val="24"/>
        </w:rPr>
      </w:pPr>
      <w:r w:rsidRPr="00D302A6">
        <w:rPr>
          <w:b/>
          <w:bCs/>
          <w:iCs/>
          <w:szCs w:val="24"/>
        </w:rPr>
        <w:t xml:space="preserve">The Court Should Certify </w:t>
      </w:r>
      <w:r w:rsidR="0038007D" w:rsidRPr="00D302A6">
        <w:rPr>
          <w:b/>
          <w:bCs/>
          <w:iCs/>
          <w:szCs w:val="24"/>
        </w:rPr>
        <w:t xml:space="preserve">The </w:t>
      </w:r>
      <w:r w:rsidRPr="00D302A6">
        <w:rPr>
          <w:b/>
          <w:bCs/>
          <w:iCs/>
          <w:szCs w:val="24"/>
        </w:rPr>
        <w:t xml:space="preserve">Class </w:t>
      </w:r>
      <w:r w:rsidR="0038007D" w:rsidRPr="00D302A6">
        <w:rPr>
          <w:b/>
          <w:bCs/>
          <w:iCs/>
          <w:szCs w:val="24"/>
        </w:rPr>
        <w:t xml:space="preserve">For </w:t>
      </w:r>
      <w:r w:rsidRPr="00D302A6">
        <w:rPr>
          <w:b/>
          <w:bCs/>
          <w:iCs/>
          <w:szCs w:val="24"/>
        </w:rPr>
        <w:t>Settlement Purposes</w:t>
      </w:r>
    </w:p>
    <w:p w14:paraId="37DD9240" w14:textId="42D14628" w:rsidR="002701E8" w:rsidRPr="002E0C4D" w:rsidRDefault="002701E8" w:rsidP="006C7448">
      <w:pPr>
        <w:widowControl w:val="0"/>
        <w:spacing w:line="480" w:lineRule="auto"/>
        <w:ind w:firstLine="720"/>
        <w:jc w:val="both"/>
        <w:rPr>
          <w:szCs w:val="24"/>
        </w:rPr>
      </w:pPr>
      <w:r w:rsidRPr="002E0C4D">
        <w:rPr>
          <w:szCs w:val="24"/>
        </w:rPr>
        <w:t>Plaintiff seeks certification of the following Settlement Class:</w:t>
      </w:r>
    </w:p>
    <w:p w14:paraId="4A406EA7" w14:textId="5B8CC293" w:rsidR="002701E8" w:rsidRPr="002E0C4D" w:rsidRDefault="002701E8" w:rsidP="006C7448">
      <w:pPr>
        <w:widowControl w:val="0"/>
        <w:spacing w:after="240" w:line="276" w:lineRule="auto"/>
        <w:ind w:left="720" w:right="720"/>
        <w:jc w:val="both"/>
        <w:rPr>
          <w:szCs w:val="24"/>
        </w:rPr>
      </w:pPr>
      <w:r w:rsidRPr="002E0C4D">
        <w:rPr>
          <w:szCs w:val="24"/>
        </w:rPr>
        <w:t>[A]</w:t>
      </w:r>
      <w:proofErr w:type="spellStart"/>
      <w:r w:rsidRPr="002E0C4D">
        <w:rPr>
          <w:szCs w:val="24"/>
        </w:rPr>
        <w:t>ll</w:t>
      </w:r>
      <w:proofErr w:type="spellEnd"/>
      <w:r w:rsidRPr="002E0C4D">
        <w:rPr>
          <w:szCs w:val="24"/>
        </w:rPr>
        <w:t xml:space="preserve"> Blind or Visually Disabled individuals who use screen reader auxiliary aids to navigate digital content and who have accessed, attempted to access, or been deterred from attempting to access, or who </w:t>
      </w:r>
      <w:r w:rsidR="00A80FD1" w:rsidRPr="002E0C4D">
        <w:rPr>
          <w:szCs w:val="24"/>
        </w:rPr>
        <w:t>will</w:t>
      </w:r>
      <w:r w:rsidRPr="002E0C4D">
        <w:rPr>
          <w:szCs w:val="24"/>
        </w:rPr>
        <w:t xml:space="preserve"> access, attempt to access, or be deterred from </w:t>
      </w:r>
      <w:r w:rsidR="00140D67" w:rsidRPr="002E0C4D">
        <w:rPr>
          <w:szCs w:val="24"/>
        </w:rPr>
        <w:t xml:space="preserve">attempting to </w:t>
      </w:r>
      <w:r w:rsidRPr="002E0C4D">
        <w:rPr>
          <w:szCs w:val="24"/>
        </w:rPr>
        <w:t>access</w:t>
      </w:r>
      <w:r w:rsidR="00140D67" w:rsidRPr="002E0C4D">
        <w:rPr>
          <w:szCs w:val="24"/>
        </w:rPr>
        <w:t>,</w:t>
      </w:r>
      <w:r w:rsidRPr="002E0C4D">
        <w:rPr>
          <w:szCs w:val="24"/>
        </w:rPr>
        <w:t xml:space="preserve"> </w:t>
      </w:r>
      <w:r w:rsidR="00A80FD1" w:rsidRPr="002E0C4D">
        <w:rPr>
          <w:szCs w:val="24"/>
        </w:rPr>
        <w:t>the</w:t>
      </w:r>
      <w:r w:rsidR="00140D67" w:rsidRPr="002E0C4D">
        <w:rPr>
          <w:szCs w:val="24"/>
        </w:rPr>
        <w:t xml:space="preserve"> Website</w:t>
      </w:r>
      <w:r w:rsidR="00A80FD1" w:rsidRPr="002E0C4D">
        <w:rPr>
          <w:szCs w:val="24"/>
        </w:rPr>
        <w:t>s</w:t>
      </w:r>
      <w:r w:rsidR="00140D67" w:rsidRPr="002E0C4D">
        <w:rPr>
          <w:szCs w:val="24"/>
        </w:rPr>
        <w:t xml:space="preserve"> </w:t>
      </w:r>
      <w:r w:rsidRPr="002E0C4D">
        <w:rPr>
          <w:szCs w:val="24"/>
        </w:rPr>
        <w:t>from the United States.</w:t>
      </w:r>
    </w:p>
    <w:p w14:paraId="24E1C87F" w14:textId="0A86E3D9" w:rsidR="002701E8" w:rsidRPr="00FE0870" w:rsidRDefault="00140D67" w:rsidP="006C7448">
      <w:pPr>
        <w:widowControl w:val="0"/>
        <w:spacing w:line="480" w:lineRule="auto"/>
        <w:jc w:val="both"/>
        <w:rPr>
          <w:szCs w:val="24"/>
        </w:rPr>
      </w:pPr>
      <w:r w:rsidRPr="002E0C4D">
        <w:rPr>
          <w:szCs w:val="24"/>
        </w:rPr>
        <w:t>(</w:t>
      </w:r>
      <w:r w:rsidR="002E0C4D" w:rsidRPr="002E0C4D">
        <w:rPr>
          <w:szCs w:val="24"/>
        </w:rPr>
        <w:t>Ex</w:t>
      </w:r>
      <w:r w:rsidR="002701E8" w:rsidRPr="002E0C4D">
        <w:rPr>
          <w:szCs w:val="24"/>
        </w:rPr>
        <w:t>. 1, § 2.3</w:t>
      </w:r>
      <w:r w:rsidR="002E0C4D" w:rsidRPr="002E0C4D">
        <w:rPr>
          <w:szCs w:val="24"/>
        </w:rPr>
        <w:t>5</w:t>
      </w:r>
      <w:r w:rsidR="002701E8" w:rsidRPr="00FE0870">
        <w:rPr>
          <w:szCs w:val="24"/>
        </w:rPr>
        <w:t>.</w:t>
      </w:r>
      <w:r w:rsidRPr="00FE0870">
        <w:rPr>
          <w:szCs w:val="24"/>
        </w:rPr>
        <w:t>)</w:t>
      </w:r>
      <w:r w:rsidR="002701E8" w:rsidRPr="00FE0870">
        <w:rPr>
          <w:szCs w:val="24"/>
        </w:rPr>
        <w:t xml:space="preserve"> </w:t>
      </w:r>
      <w:r w:rsidRPr="00FE0870">
        <w:rPr>
          <w:szCs w:val="24"/>
        </w:rPr>
        <w:t>T</w:t>
      </w:r>
      <w:r w:rsidR="002701E8" w:rsidRPr="00FE0870">
        <w:rPr>
          <w:szCs w:val="24"/>
        </w:rPr>
        <w:t xml:space="preserve">he Settlement Class meets the </w:t>
      </w:r>
      <w:r w:rsidRPr="00FE0870">
        <w:rPr>
          <w:szCs w:val="24"/>
        </w:rPr>
        <w:t>requirements of</w:t>
      </w:r>
      <w:r w:rsidR="002701E8" w:rsidRPr="00FE0870">
        <w:rPr>
          <w:szCs w:val="24"/>
        </w:rPr>
        <w:t xml:space="preserve"> Rule 23(a) and Rule 23(b)(2).</w:t>
      </w:r>
    </w:p>
    <w:p w14:paraId="04D58316" w14:textId="4E4464AD" w:rsidR="002701E8" w:rsidRPr="00FE0870" w:rsidRDefault="002701E8" w:rsidP="006C7448">
      <w:pPr>
        <w:pStyle w:val="ListParagraph"/>
        <w:keepNext/>
        <w:widowControl w:val="0"/>
        <w:numPr>
          <w:ilvl w:val="1"/>
          <w:numId w:val="4"/>
        </w:numPr>
        <w:spacing w:after="240"/>
        <w:ind w:right="720" w:hanging="720"/>
        <w:contextualSpacing w:val="0"/>
        <w:rPr>
          <w:b/>
          <w:bCs/>
          <w:szCs w:val="24"/>
        </w:rPr>
      </w:pPr>
      <w:r w:rsidRPr="00FE0870">
        <w:rPr>
          <w:b/>
          <w:bCs/>
          <w:szCs w:val="24"/>
        </w:rPr>
        <w:t xml:space="preserve">Plaintiff Satisfies </w:t>
      </w:r>
      <w:r w:rsidR="0038007D" w:rsidRPr="00FE0870">
        <w:rPr>
          <w:b/>
          <w:bCs/>
          <w:szCs w:val="24"/>
        </w:rPr>
        <w:t xml:space="preserve">The </w:t>
      </w:r>
      <w:r w:rsidRPr="00FE0870">
        <w:rPr>
          <w:b/>
          <w:bCs/>
          <w:szCs w:val="24"/>
        </w:rPr>
        <w:t xml:space="preserve">Requirements </w:t>
      </w:r>
      <w:r w:rsidR="0038007D" w:rsidRPr="00FE0870">
        <w:rPr>
          <w:b/>
          <w:bCs/>
          <w:szCs w:val="24"/>
        </w:rPr>
        <w:t xml:space="preserve">Of </w:t>
      </w:r>
      <w:r w:rsidRPr="00FE0870">
        <w:rPr>
          <w:b/>
          <w:bCs/>
          <w:szCs w:val="24"/>
        </w:rPr>
        <w:t xml:space="preserve">Rule </w:t>
      </w:r>
      <w:r w:rsidR="0038007D" w:rsidRPr="00FE0870">
        <w:rPr>
          <w:b/>
          <w:bCs/>
          <w:szCs w:val="24"/>
        </w:rPr>
        <w:t>23(</w:t>
      </w:r>
      <w:r w:rsidR="0093669C" w:rsidRPr="00FE0870">
        <w:rPr>
          <w:b/>
          <w:bCs/>
          <w:szCs w:val="24"/>
        </w:rPr>
        <w:t>a</w:t>
      </w:r>
      <w:r w:rsidR="0038007D" w:rsidRPr="00FE0870">
        <w:rPr>
          <w:b/>
          <w:bCs/>
          <w:szCs w:val="24"/>
        </w:rPr>
        <w:t>)</w:t>
      </w:r>
    </w:p>
    <w:p w14:paraId="0E129965" w14:textId="77777777" w:rsidR="002701E8" w:rsidRPr="00FE0870" w:rsidRDefault="002701E8" w:rsidP="006C7448">
      <w:pPr>
        <w:pStyle w:val="ListParagraph"/>
        <w:keepNext/>
        <w:widowControl w:val="0"/>
        <w:numPr>
          <w:ilvl w:val="2"/>
          <w:numId w:val="4"/>
        </w:numPr>
        <w:spacing w:after="240"/>
        <w:ind w:left="2880" w:right="720" w:hanging="720"/>
        <w:contextualSpacing w:val="0"/>
        <w:rPr>
          <w:b/>
          <w:bCs/>
          <w:szCs w:val="24"/>
        </w:rPr>
      </w:pPr>
      <w:r w:rsidRPr="00FE0870">
        <w:rPr>
          <w:b/>
          <w:bCs/>
          <w:szCs w:val="24"/>
        </w:rPr>
        <w:t>Numerosity</w:t>
      </w:r>
    </w:p>
    <w:p w14:paraId="7A936638" w14:textId="2B0D3158" w:rsidR="002701E8" w:rsidRPr="00625410" w:rsidRDefault="00A03D5B" w:rsidP="006C7448">
      <w:pPr>
        <w:widowControl w:val="0"/>
        <w:spacing w:line="480" w:lineRule="auto"/>
        <w:ind w:firstLine="720"/>
        <w:jc w:val="both"/>
        <w:rPr>
          <w:szCs w:val="24"/>
        </w:rPr>
      </w:pPr>
      <w:r w:rsidRPr="00625410">
        <w:rPr>
          <w:szCs w:val="24"/>
        </w:rPr>
        <w:t>T</w:t>
      </w:r>
      <w:r w:rsidR="002701E8" w:rsidRPr="00625410">
        <w:rPr>
          <w:szCs w:val="24"/>
        </w:rPr>
        <w:t xml:space="preserve">he Court must </w:t>
      </w:r>
      <w:r w:rsidR="00E7344C" w:rsidRPr="00625410">
        <w:rPr>
          <w:szCs w:val="24"/>
        </w:rPr>
        <w:t>find</w:t>
      </w:r>
      <w:r w:rsidR="002701E8" w:rsidRPr="00625410">
        <w:rPr>
          <w:szCs w:val="24"/>
        </w:rPr>
        <w:t xml:space="preserve"> </w:t>
      </w:r>
      <w:r w:rsidR="00E7344C" w:rsidRPr="00625410">
        <w:rPr>
          <w:szCs w:val="24"/>
        </w:rPr>
        <w:t>“</w:t>
      </w:r>
      <w:r w:rsidR="002701E8" w:rsidRPr="00625410">
        <w:rPr>
          <w:szCs w:val="24"/>
        </w:rPr>
        <w:t>the class is so numerous that joinder of all members is impracticable.”</w:t>
      </w:r>
      <w:r w:rsidR="00E7344C" w:rsidRPr="00625410">
        <w:rPr>
          <w:szCs w:val="24"/>
        </w:rPr>
        <w:t xml:space="preserve"> </w:t>
      </w:r>
      <w:r w:rsidR="002701E8" w:rsidRPr="00625410">
        <w:rPr>
          <w:szCs w:val="24"/>
        </w:rPr>
        <w:t>Fed. R. Civ. P. 23(a)(1). Impractica</w:t>
      </w:r>
      <w:r w:rsidR="003B386D" w:rsidRPr="00625410">
        <w:rPr>
          <w:szCs w:val="24"/>
        </w:rPr>
        <w:t>bi</w:t>
      </w:r>
      <w:r w:rsidR="002701E8" w:rsidRPr="00625410">
        <w:rPr>
          <w:szCs w:val="24"/>
        </w:rPr>
        <w:t xml:space="preserve">lity does not mean impossibility; it means class certification is proper in light of the difficulty of joining all members of the putative class. </w:t>
      </w:r>
      <w:r w:rsidR="002701E8" w:rsidRPr="00625410">
        <w:rPr>
          <w:i/>
          <w:iCs/>
          <w:szCs w:val="24"/>
        </w:rPr>
        <w:t>Cureton v. N</w:t>
      </w:r>
      <w:r w:rsidR="004C3270" w:rsidRPr="00625410">
        <w:rPr>
          <w:i/>
          <w:iCs/>
          <w:szCs w:val="24"/>
        </w:rPr>
        <w:t>CAA</w:t>
      </w:r>
      <w:r w:rsidR="002701E8" w:rsidRPr="00625410">
        <w:rPr>
          <w:szCs w:val="24"/>
        </w:rPr>
        <w:t xml:space="preserve">, </w:t>
      </w:r>
      <w:r w:rsidR="003B386D" w:rsidRPr="00625410">
        <w:rPr>
          <w:szCs w:val="24"/>
        </w:rPr>
        <w:lastRenderedPageBreak/>
        <w:t>No. 97-cv-00131, 1999 U.S. Dist. LEXIS 9706, at *15</w:t>
      </w:r>
      <w:r w:rsidR="002701E8" w:rsidRPr="00625410">
        <w:rPr>
          <w:szCs w:val="24"/>
        </w:rPr>
        <w:t xml:space="preserve"> (E.D. Pa. July 1, 1999). The inquiry is focused on judicial economy. </w:t>
      </w:r>
      <w:r w:rsidR="002701E8" w:rsidRPr="00625410">
        <w:rPr>
          <w:i/>
          <w:iCs/>
          <w:szCs w:val="24"/>
        </w:rPr>
        <w:t>See Phila. Elec. Co. v. Anaconda Am. Brass Co.</w:t>
      </w:r>
      <w:r w:rsidR="002701E8" w:rsidRPr="00625410">
        <w:rPr>
          <w:szCs w:val="24"/>
        </w:rPr>
        <w:t xml:space="preserve">, 43 F.R.D. 452, 463 (E.D. Pa. 1968) (“I see no necessity for encumbering the judicial process with 25 lawsuits, if one will do.”). While there is no precise standard, a class of more than 40 </w:t>
      </w:r>
      <w:r w:rsidR="00E7344C" w:rsidRPr="00625410">
        <w:rPr>
          <w:szCs w:val="24"/>
        </w:rPr>
        <w:t>individuals</w:t>
      </w:r>
      <w:r w:rsidR="002701E8" w:rsidRPr="00625410">
        <w:rPr>
          <w:szCs w:val="24"/>
        </w:rPr>
        <w:t xml:space="preserve"> </w:t>
      </w:r>
      <w:r w:rsidR="00E7344C" w:rsidRPr="00625410">
        <w:rPr>
          <w:szCs w:val="24"/>
        </w:rPr>
        <w:t>typically</w:t>
      </w:r>
      <w:r w:rsidR="002701E8" w:rsidRPr="00625410">
        <w:rPr>
          <w:szCs w:val="24"/>
        </w:rPr>
        <w:t xml:space="preserve"> satisfies the </w:t>
      </w:r>
      <w:r w:rsidR="00E7344C" w:rsidRPr="00625410">
        <w:rPr>
          <w:szCs w:val="24"/>
        </w:rPr>
        <w:t>requirement</w:t>
      </w:r>
      <w:r w:rsidR="002701E8" w:rsidRPr="00625410">
        <w:rPr>
          <w:szCs w:val="24"/>
        </w:rPr>
        <w:t xml:space="preserve">. </w:t>
      </w:r>
      <w:r w:rsidR="002701E8" w:rsidRPr="00625410">
        <w:rPr>
          <w:i/>
          <w:iCs/>
          <w:szCs w:val="24"/>
        </w:rPr>
        <w:t>See Stewart v. Abraham</w:t>
      </w:r>
      <w:r w:rsidR="002701E8" w:rsidRPr="00625410">
        <w:rPr>
          <w:szCs w:val="24"/>
        </w:rPr>
        <w:t>, 275 F.3d 220, 226-27 (3d Cir. 200</w:t>
      </w:r>
      <w:r w:rsidR="00E7344C" w:rsidRPr="00625410">
        <w:rPr>
          <w:szCs w:val="24"/>
        </w:rPr>
        <w:t>1</w:t>
      </w:r>
      <w:r w:rsidR="002701E8" w:rsidRPr="00625410">
        <w:rPr>
          <w:szCs w:val="24"/>
        </w:rPr>
        <w:t xml:space="preserve">). </w:t>
      </w:r>
      <w:r w:rsidR="004C3270" w:rsidRPr="00625410">
        <w:rPr>
          <w:szCs w:val="24"/>
        </w:rPr>
        <w:t>G</w:t>
      </w:r>
      <w:r w:rsidR="002701E8" w:rsidRPr="00625410">
        <w:rPr>
          <w:szCs w:val="24"/>
        </w:rPr>
        <w:t xml:space="preserve">eneral knowledge and </w:t>
      </w:r>
      <w:r w:rsidR="00B82D32">
        <w:rPr>
          <w:szCs w:val="24"/>
        </w:rPr>
        <w:t>“</w:t>
      </w:r>
      <w:r w:rsidR="00141195" w:rsidRPr="00625410">
        <w:rPr>
          <w:szCs w:val="24"/>
        </w:rPr>
        <w:t>common</w:t>
      </w:r>
      <w:r w:rsidR="00B82D32">
        <w:rPr>
          <w:szCs w:val="24"/>
        </w:rPr>
        <w:t xml:space="preserve"> </w:t>
      </w:r>
      <w:r w:rsidR="00141195" w:rsidRPr="00625410">
        <w:rPr>
          <w:szCs w:val="24"/>
        </w:rPr>
        <w:t>sense</w:t>
      </w:r>
      <w:r w:rsidR="002701E8" w:rsidRPr="00625410">
        <w:rPr>
          <w:szCs w:val="24"/>
        </w:rPr>
        <w:t xml:space="preserve"> assumptions</w:t>
      </w:r>
      <w:r w:rsidR="00B82D32">
        <w:rPr>
          <w:szCs w:val="24"/>
        </w:rPr>
        <w:t>”</w:t>
      </w:r>
      <w:r w:rsidR="002701E8" w:rsidRPr="00625410">
        <w:rPr>
          <w:szCs w:val="24"/>
        </w:rPr>
        <w:t xml:space="preserve"> may be applied to the numerosity determination. </w:t>
      </w:r>
      <w:r w:rsidR="00E4446B" w:rsidRPr="00625410">
        <w:rPr>
          <w:i/>
          <w:iCs/>
          <w:szCs w:val="24"/>
        </w:rPr>
        <w:t xml:space="preserve">See </w:t>
      </w:r>
      <w:r w:rsidR="002701E8" w:rsidRPr="00625410">
        <w:rPr>
          <w:i/>
          <w:iCs/>
          <w:szCs w:val="24"/>
        </w:rPr>
        <w:t>Snider v. Upjohn Co</w:t>
      </w:r>
      <w:r w:rsidR="002701E8" w:rsidRPr="00625410">
        <w:rPr>
          <w:szCs w:val="24"/>
        </w:rPr>
        <w:t>., 115 F.R.D. 536, 539 (E.D. Pa. 1987).</w:t>
      </w:r>
    </w:p>
    <w:p w14:paraId="47A023DA" w14:textId="6AD2E966" w:rsidR="002701E8" w:rsidRPr="00C44F9A" w:rsidRDefault="002701E8" w:rsidP="006C7448">
      <w:pPr>
        <w:widowControl w:val="0"/>
        <w:spacing w:line="480" w:lineRule="auto"/>
        <w:ind w:firstLine="720"/>
        <w:jc w:val="both"/>
        <w:rPr>
          <w:szCs w:val="24"/>
        </w:rPr>
      </w:pPr>
      <w:r w:rsidRPr="00B1038A">
        <w:rPr>
          <w:szCs w:val="24"/>
        </w:rPr>
        <w:t xml:space="preserve">The numerosity requirement is satisfied here, based on common sense and available data regarding the number of </w:t>
      </w:r>
      <w:r w:rsidR="007C1A29" w:rsidRPr="00B1038A">
        <w:rPr>
          <w:szCs w:val="24"/>
        </w:rPr>
        <w:t xml:space="preserve">individuals </w:t>
      </w:r>
      <w:r w:rsidR="007C1A29">
        <w:rPr>
          <w:szCs w:val="24"/>
        </w:rPr>
        <w:t xml:space="preserve">in the US who are visually disabled and who </w:t>
      </w:r>
      <w:r w:rsidRPr="00B1038A">
        <w:rPr>
          <w:szCs w:val="24"/>
        </w:rPr>
        <w:t>use the internet.</w:t>
      </w:r>
      <w:r w:rsidR="00946D44">
        <w:rPr>
          <w:szCs w:val="24"/>
        </w:rPr>
        <w:t xml:space="preserve"> </w:t>
      </w:r>
      <w:r w:rsidRPr="00B1038A">
        <w:rPr>
          <w:szCs w:val="24"/>
        </w:rPr>
        <w:t xml:space="preserve">First, U.S. Census </w:t>
      </w:r>
      <w:r w:rsidR="00B62D64">
        <w:rPr>
          <w:szCs w:val="24"/>
        </w:rPr>
        <w:t xml:space="preserve">Bureau </w:t>
      </w:r>
      <w:r w:rsidRPr="00B1038A">
        <w:rPr>
          <w:szCs w:val="24"/>
        </w:rPr>
        <w:t>data from 2010 shows that</w:t>
      </w:r>
      <w:r w:rsidR="00CF2756" w:rsidRPr="00B1038A">
        <w:rPr>
          <w:szCs w:val="24"/>
        </w:rPr>
        <w:t>,</w:t>
      </w:r>
      <w:r w:rsidRPr="00B1038A">
        <w:rPr>
          <w:szCs w:val="24"/>
        </w:rPr>
        <w:t xml:space="preserve"> of the 241.7 million </w:t>
      </w:r>
      <w:r w:rsidR="00BF5D22" w:rsidRPr="00B1038A">
        <w:rPr>
          <w:szCs w:val="24"/>
        </w:rPr>
        <w:t>individual</w:t>
      </w:r>
      <w:r w:rsidR="00714682" w:rsidRPr="00B1038A">
        <w:rPr>
          <w:szCs w:val="24"/>
        </w:rPr>
        <w:t>s</w:t>
      </w:r>
      <w:r w:rsidRPr="00B1038A">
        <w:rPr>
          <w:szCs w:val="24"/>
        </w:rPr>
        <w:t xml:space="preserve"> aged 15 and older, “[a]bout 8.1 million people </w:t>
      </w:r>
      <w:r w:rsidR="00714682" w:rsidRPr="00B1038A">
        <w:rPr>
          <w:szCs w:val="24"/>
        </w:rPr>
        <w:t>. . .</w:t>
      </w:r>
      <w:r w:rsidRPr="00B1038A">
        <w:rPr>
          <w:szCs w:val="24"/>
        </w:rPr>
        <w:t xml:space="preserve"> had difficulty seeing, including 2.0 million people who were blind or unable to see.” Matthew W. Brault, </w:t>
      </w:r>
      <w:r w:rsidRPr="00B1038A">
        <w:rPr>
          <w:i/>
          <w:iCs/>
          <w:szCs w:val="24"/>
        </w:rPr>
        <w:t>Americans With Disabilities: 2010</w:t>
      </w:r>
      <w:r w:rsidR="00225393" w:rsidRPr="00B1038A">
        <w:rPr>
          <w:szCs w:val="24"/>
        </w:rPr>
        <w:t xml:space="preserve">, U.S. Census Bureau </w:t>
      </w:r>
      <w:r w:rsidRPr="00B1038A">
        <w:rPr>
          <w:szCs w:val="24"/>
        </w:rPr>
        <w:t>(July 2012)</w:t>
      </w:r>
      <w:r w:rsidR="00D3398F" w:rsidRPr="00B1038A">
        <w:rPr>
          <w:szCs w:val="24"/>
        </w:rPr>
        <w:t>,</w:t>
      </w:r>
      <w:r w:rsidRPr="00B1038A">
        <w:rPr>
          <w:szCs w:val="24"/>
        </w:rPr>
        <w:t xml:space="preserve"> </w:t>
      </w:r>
      <w:hyperlink r:id="rId19" w:history="1">
        <w:r w:rsidRPr="00B1038A">
          <w:rPr>
            <w:rStyle w:val="Hyperlink"/>
            <w:szCs w:val="24"/>
          </w:rPr>
          <w:t>https://www2.census.gov/library/publications/2012/demo/p70-131.pdf</w:t>
        </w:r>
      </w:hyperlink>
      <w:r w:rsidRPr="00B1038A">
        <w:rPr>
          <w:szCs w:val="24"/>
        </w:rPr>
        <w:t xml:space="preserve">. Second, </w:t>
      </w:r>
      <w:r w:rsidR="003A689C">
        <w:rPr>
          <w:szCs w:val="24"/>
        </w:rPr>
        <w:t xml:space="preserve">about </w:t>
      </w:r>
      <w:r w:rsidRPr="00B1038A">
        <w:rPr>
          <w:szCs w:val="24"/>
        </w:rPr>
        <w:t>9</w:t>
      </w:r>
      <w:r w:rsidR="007C3727" w:rsidRPr="00B1038A">
        <w:rPr>
          <w:szCs w:val="24"/>
        </w:rPr>
        <w:t>3</w:t>
      </w:r>
      <w:r w:rsidRPr="00B1038A">
        <w:rPr>
          <w:szCs w:val="24"/>
        </w:rPr>
        <w:t>% of U.S. adults use the internet.</w:t>
      </w:r>
      <w:r w:rsidR="00071DD3" w:rsidRPr="00B1038A">
        <w:rPr>
          <w:szCs w:val="24"/>
        </w:rPr>
        <w:t xml:space="preserve"> </w:t>
      </w:r>
      <w:r w:rsidRPr="00B1038A">
        <w:rPr>
          <w:i/>
          <w:iCs/>
          <w:szCs w:val="24"/>
        </w:rPr>
        <w:t>Internet/Broadband Fact Sheet</w:t>
      </w:r>
      <w:r w:rsidRPr="00B1038A">
        <w:rPr>
          <w:szCs w:val="24"/>
        </w:rPr>
        <w:t xml:space="preserve">, </w:t>
      </w:r>
      <w:r w:rsidR="00071DD3" w:rsidRPr="00B1038A">
        <w:rPr>
          <w:szCs w:val="24"/>
        </w:rPr>
        <w:t xml:space="preserve">Pew Research Center (Apr. 7, 2021), </w:t>
      </w:r>
      <w:hyperlink r:id="rId20" w:history="1">
        <w:r w:rsidR="00071DD3" w:rsidRPr="00B1038A">
          <w:rPr>
            <w:rStyle w:val="Hyperlink"/>
            <w:szCs w:val="24"/>
          </w:rPr>
          <w:t>https://www.pewresearch.org/internet/fact-sheet/internet-broadband/</w:t>
        </w:r>
      </w:hyperlink>
      <w:r w:rsidRPr="00B1038A">
        <w:rPr>
          <w:szCs w:val="24"/>
        </w:rPr>
        <w:t xml:space="preserve">. </w:t>
      </w:r>
      <w:r w:rsidR="004711DE" w:rsidRPr="00B1038A">
        <w:rPr>
          <w:szCs w:val="24"/>
        </w:rPr>
        <w:t>Taken together</w:t>
      </w:r>
      <w:r w:rsidR="00F22A27" w:rsidRPr="00B1038A">
        <w:rPr>
          <w:szCs w:val="24"/>
        </w:rPr>
        <w:t>,</w:t>
      </w:r>
      <w:r w:rsidRPr="00B1038A">
        <w:rPr>
          <w:szCs w:val="24"/>
        </w:rPr>
        <w:t xml:space="preserve"> </w:t>
      </w:r>
      <w:r w:rsidR="004711DE" w:rsidRPr="00B1038A">
        <w:rPr>
          <w:szCs w:val="24"/>
        </w:rPr>
        <w:t>about</w:t>
      </w:r>
      <w:r w:rsidRPr="00B1038A">
        <w:rPr>
          <w:szCs w:val="24"/>
        </w:rPr>
        <w:t xml:space="preserve"> 7.</w:t>
      </w:r>
      <w:r w:rsidR="004711DE" w:rsidRPr="00B1038A">
        <w:rPr>
          <w:szCs w:val="24"/>
        </w:rPr>
        <w:t>5</w:t>
      </w:r>
      <w:r w:rsidRPr="00B1038A">
        <w:rPr>
          <w:szCs w:val="24"/>
        </w:rPr>
        <w:t xml:space="preserve"> million U.S. adults who have difficulty seeing, </w:t>
      </w:r>
      <w:r w:rsidR="00FA5B1C" w:rsidRPr="00B1038A">
        <w:rPr>
          <w:szCs w:val="24"/>
        </w:rPr>
        <w:t xml:space="preserve">including </w:t>
      </w:r>
      <w:r w:rsidR="00D718CA" w:rsidRPr="00B1038A">
        <w:rPr>
          <w:szCs w:val="24"/>
        </w:rPr>
        <w:t xml:space="preserve">about </w:t>
      </w:r>
      <w:r w:rsidRPr="00B1038A">
        <w:rPr>
          <w:szCs w:val="24"/>
        </w:rPr>
        <w:t>1.8 million U.S. adults who are blind, use the internet.</w:t>
      </w:r>
      <w:r w:rsidR="00BB37E7" w:rsidRPr="00B1038A">
        <w:rPr>
          <w:szCs w:val="24"/>
        </w:rPr>
        <w:t xml:space="preserve"> </w:t>
      </w:r>
      <w:r w:rsidR="00F22A27" w:rsidRPr="00B1038A">
        <w:rPr>
          <w:szCs w:val="24"/>
        </w:rPr>
        <w:t>Because D</w:t>
      </w:r>
      <w:r w:rsidRPr="00B1038A">
        <w:rPr>
          <w:szCs w:val="24"/>
        </w:rPr>
        <w:t xml:space="preserve">efendant’s </w:t>
      </w:r>
      <w:r w:rsidR="00D718CA" w:rsidRPr="00B1038A">
        <w:rPr>
          <w:szCs w:val="24"/>
        </w:rPr>
        <w:t>Website</w:t>
      </w:r>
      <w:r w:rsidR="000C74A9" w:rsidRPr="00B1038A">
        <w:rPr>
          <w:szCs w:val="24"/>
        </w:rPr>
        <w:t>s</w:t>
      </w:r>
      <w:r w:rsidRPr="00B1038A">
        <w:rPr>
          <w:szCs w:val="24"/>
        </w:rPr>
        <w:t xml:space="preserve"> </w:t>
      </w:r>
      <w:r w:rsidR="00D718CA" w:rsidRPr="00B1038A">
        <w:rPr>
          <w:szCs w:val="24"/>
        </w:rPr>
        <w:t>are</w:t>
      </w:r>
      <w:r w:rsidRPr="00B1038A">
        <w:rPr>
          <w:szCs w:val="24"/>
        </w:rPr>
        <w:t xml:space="preserve"> publicly available in the U</w:t>
      </w:r>
      <w:r w:rsidR="00D718CA" w:rsidRPr="00B1038A">
        <w:rPr>
          <w:szCs w:val="24"/>
        </w:rPr>
        <w:t>.</w:t>
      </w:r>
      <w:r w:rsidRPr="00B1038A">
        <w:rPr>
          <w:szCs w:val="24"/>
        </w:rPr>
        <w:t>S.</w:t>
      </w:r>
      <w:r w:rsidR="00F22A27" w:rsidRPr="00B1038A">
        <w:rPr>
          <w:szCs w:val="24"/>
        </w:rPr>
        <w:t>,</w:t>
      </w:r>
      <w:r w:rsidRPr="00B1038A">
        <w:rPr>
          <w:szCs w:val="24"/>
        </w:rPr>
        <w:t xml:space="preserve"> at any given time, any number of the 7.</w:t>
      </w:r>
      <w:r w:rsidR="00D718CA" w:rsidRPr="00B1038A">
        <w:rPr>
          <w:szCs w:val="24"/>
        </w:rPr>
        <w:t>5</w:t>
      </w:r>
      <w:r w:rsidRPr="00B1038A">
        <w:rPr>
          <w:szCs w:val="24"/>
        </w:rPr>
        <w:t xml:space="preserve"> million members of the public </w:t>
      </w:r>
      <w:r w:rsidR="00D718CA" w:rsidRPr="00B1038A">
        <w:rPr>
          <w:szCs w:val="24"/>
        </w:rPr>
        <w:t xml:space="preserve">who </w:t>
      </w:r>
      <w:r w:rsidR="00F22A27" w:rsidRPr="00B1038A">
        <w:rPr>
          <w:szCs w:val="24"/>
        </w:rPr>
        <w:t xml:space="preserve">have difficulty seeing and </w:t>
      </w:r>
      <w:r w:rsidR="003A689C">
        <w:rPr>
          <w:szCs w:val="24"/>
        </w:rPr>
        <w:t>use</w:t>
      </w:r>
      <w:r w:rsidR="00D718CA" w:rsidRPr="00B1038A">
        <w:rPr>
          <w:szCs w:val="24"/>
        </w:rPr>
        <w:t xml:space="preserve"> the internet</w:t>
      </w:r>
      <w:r w:rsidRPr="00B1038A">
        <w:rPr>
          <w:szCs w:val="24"/>
        </w:rPr>
        <w:t xml:space="preserve"> </w:t>
      </w:r>
      <w:r w:rsidR="00D718CA" w:rsidRPr="00B1038A">
        <w:rPr>
          <w:szCs w:val="24"/>
        </w:rPr>
        <w:t>m</w:t>
      </w:r>
      <w:r w:rsidRPr="00B1038A">
        <w:rPr>
          <w:szCs w:val="24"/>
        </w:rPr>
        <w:t xml:space="preserve">ay seek to </w:t>
      </w:r>
      <w:r w:rsidR="003A689C">
        <w:rPr>
          <w:szCs w:val="24"/>
        </w:rPr>
        <w:t>access</w:t>
      </w:r>
      <w:r w:rsidRPr="00B1038A">
        <w:rPr>
          <w:szCs w:val="24"/>
        </w:rPr>
        <w:t xml:space="preserve"> Defendant’s </w:t>
      </w:r>
      <w:r w:rsidR="003A689C">
        <w:rPr>
          <w:szCs w:val="24"/>
        </w:rPr>
        <w:t>Websites</w:t>
      </w:r>
      <w:r w:rsidRPr="00B1038A">
        <w:rPr>
          <w:szCs w:val="24"/>
        </w:rPr>
        <w:t xml:space="preserve">. </w:t>
      </w:r>
      <w:r w:rsidR="00BA1A55">
        <w:rPr>
          <w:szCs w:val="24"/>
        </w:rPr>
        <w:t>In light of</w:t>
      </w:r>
      <w:r w:rsidRPr="00B1038A">
        <w:rPr>
          <w:szCs w:val="24"/>
        </w:rPr>
        <w:t xml:space="preserve"> the number of visually disabled internet users who may </w:t>
      </w:r>
      <w:r w:rsidR="00BA1A55">
        <w:rPr>
          <w:szCs w:val="24"/>
        </w:rPr>
        <w:t xml:space="preserve">seek to </w:t>
      </w:r>
      <w:r w:rsidRPr="00B1038A">
        <w:rPr>
          <w:szCs w:val="24"/>
        </w:rPr>
        <w:t xml:space="preserve">access Defendant’s </w:t>
      </w:r>
      <w:r w:rsidR="003A689C">
        <w:rPr>
          <w:szCs w:val="24"/>
        </w:rPr>
        <w:t>Websites</w:t>
      </w:r>
      <w:r w:rsidRPr="00B1038A">
        <w:rPr>
          <w:szCs w:val="24"/>
        </w:rPr>
        <w:t xml:space="preserve">, the numerosity requirement is </w:t>
      </w:r>
      <w:r w:rsidR="00BE3C65" w:rsidRPr="00B1038A">
        <w:rPr>
          <w:szCs w:val="24"/>
        </w:rPr>
        <w:t>met</w:t>
      </w:r>
      <w:r w:rsidRPr="00B1038A">
        <w:rPr>
          <w:szCs w:val="24"/>
        </w:rPr>
        <w:t xml:space="preserve">. </w:t>
      </w:r>
      <w:r w:rsidRPr="00B1038A">
        <w:rPr>
          <w:i/>
          <w:iCs/>
          <w:szCs w:val="24"/>
        </w:rPr>
        <w:t>See Arnold v. United Artists Theatre Circuit, Inc.</w:t>
      </w:r>
      <w:r w:rsidRPr="00B1038A">
        <w:rPr>
          <w:szCs w:val="24"/>
        </w:rPr>
        <w:t xml:space="preserve">, 158 F.R.D. 439, 448 (N.D. Cal. 1994) (extrapolating from evidence </w:t>
      </w:r>
      <w:r w:rsidR="003B5E1D" w:rsidRPr="00B1038A">
        <w:rPr>
          <w:szCs w:val="24"/>
        </w:rPr>
        <w:t>of existence of</w:t>
      </w:r>
      <w:r w:rsidRPr="00B1038A">
        <w:rPr>
          <w:szCs w:val="24"/>
        </w:rPr>
        <w:t xml:space="preserve"> over 175,000 wheelchair users </w:t>
      </w:r>
      <w:r w:rsidR="003B5E1D" w:rsidRPr="00B1038A">
        <w:rPr>
          <w:szCs w:val="24"/>
        </w:rPr>
        <w:t xml:space="preserve">and 700,000 semi-ambulatory persons </w:t>
      </w:r>
      <w:r w:rsidRPr="00B1038A">
        <w:rPr>
          <w:szCs w:val="24"/>
        </w:rPr>
        <w:t xml:space="preserve">in California that </w:t>
      </w:r>
      <w:r w:rsidR="007D65FC">
        <w:rPr>
          <w:szCs w:val="24"/>
        </w:rPr>
        <w:t xml:space="preserve">thousands of disabled </w:t>
      </w:r>
      <w:r w:rsidR="00F4472A">
        <w:rPr>
          <w:szCs w:val="24"/>
        </w:rPr>
        <w:t>individual</w:t>
      </w:r>
      <w:r w:rsidR="007D65FC">
        <w:rPr>
          <w:szCs w:val="24"/>
        </w:rPr>
        <w:t xml:space="preserve">s were </w:t>
      </w:r>
      <w:r w:rsidR="007D65FC">
        <w:rPr>
          <w:szCs w:val="24"/>
        </w:rPr>
        <w:lastRenderedPageBreak/>
        <w:t xml:space="preserve">affected by </w:t>
      </w:r>
      <w:bookmarkStart w:id="9" w:name="_Hlk116909369"/>
      <w:r w:rsidR="00F4472A">
        <w:rPr>
          <w:szCs w:val="24"/>
        </w:rPr>
        <w:t>access</w:t>
      </w:r>
      <w:r w:rsidR="007D65FC" w:rsidRPr="00C44F9A">
        <w:rPr>
          <w:szCs w:val="24"/>
        </w:rPr>
        <w:t xml:space="preserve"> </w:t>
      </w:r>
      <w:bookmarkEnd w:id="9"/>
      <w:r w:rsidR="007D65FC" w:rsidRPr="00C44F9A">
        <w:rPr>
          <w:szCs w:val="24"/>
        </w:rPr>
        <w:t>violations at defendant’s 70 theatres</w:t>
      </w:r>
      <w:r w:rsidRPr="00C44F9A">
        <w:rPr>
          <w:szCs w:val="24"/>
        </w:rPr>
        <w:t>).</w:t>
      </w:r>
    </w:p>
    <w:p w14:paraId="2C660429" w14:textId="0DE03798" w:rsidR="00BB37E7" w:rsidRPr="00152834" w:rsidRDefault="00BB37E7" w:rsidP="006C7448">
      <w:pPr>
        <w:widowControl w:val="0"/>
        <w:spacing w:line="480" w:lineRule="auto"/>
        <w:ind w:firstLine="720"/>
        <w:jc w:val="both"/>
        <w:rPr>
          <w:szCs w:val="24"/>
        </w:rPr>
      </w:pPr>
      <w:r w:rsidRPr="00C44F9A">
        <w:rPr>
          <w:szCs w:val="24"/>
        </w:rPr>
        <w:t xml:space="preserve">Courts found </w:t>
      </w:r>
      <w:r w:rsidR="00CF097A" w:rsidRPr="0099688B">
        <w:rPr>
          <w:szCs w:val="24"/>
        </w:rPr>
        <w:t xml:space="preserve">that </w:t>
      </w:r>
      <w:r w:rsidRPr="0099688B">
        <w:rPr>
          <w:szCs w:val="24"/>
        </w:rPr>
        <w:t>identical classes satisf</w:t>
      </w:r>
      <w:r w:rsidR="00162DBF" w:rsidRPr="0099688B">
        <w:rPr>
          <w:szCs w:val="24"/>
        </w:rPr>
        <w:t>ied</w:t>
      </w:r>
      <w:r w:rsidRPr="0099688B">
        <w:rPr>
          <w:szCs w:val="24"/>
        </w:rPr>
        <w:t xml:space="preserve"> numerosity in </w:t>
      </w:r>
      <w:r w:rsidRPr="0099688B">
        <w:rPr>
          <w:i/>
          <w:iCs/>
          <w:szCs w:val="24"/>
        </w:rPr>
        <w:t xml:space="preserve">Eyebobs </w:t>
      </w:r>
      <w:r w:rsidRPr="0099688B">
        <w:rPr>
          <w:szCs w:val="24"/>
        </w:rPr>
        <w:t>(Doc. 36 at p. 4)</w:t>
      </w:r>
      <w:r w:rsidR="00634423" w:rsidRPr="0099688B">
        <w:rPr>
          <w:szCs w:val="24"/>
        </w:rPr>
        <w:t>,</w:t>
      </w:r>
      <w:r w:rsidR="00E63BF4" w:rsidRPr="0099688B">
        <w:rPr>
          <w:szCs w:val="24"/>
        </w:rPr>
        <w:t xml:space="preserve"> </w:t>
      </w:r>
      <w:r w:rsidRPr="0099688B">
        <w:rPr>
          <w:i/>
          <w:iCs/>
          <w:szCs w:val="24"/>
        </w:rPr>
        <w:t>Charles Tyrwhitt</w:t>
      </w:r>
      <w:r w:rsidRPr="0099688B">
        <w:rPr>
          <w:szCs w:val="24"/>
        </w:rPr>
        <w:t xml:space="preserve"> (Doc. 30 at p. 4), </w:t>
      </w:r>
      <w:r w:rsidR="00E63BF4" w:rsidRPr="0099688B">
        <w:rPr>
          <w:i/>
          <w:iCs/>
          <w:szCs w:val="24"/>
        </w:rPr>
        <w:t>The Hundreds</w:t>
      </w:r>
      <w:r w:rsidR="00E63BF4" w:rsidRPr="0099688B">
        <w:rPr>
          <w:szCs w:val="24"/>
        </w:rPr>
        <w:t xml:space="preserve"> (Doc. </w:t>
      </w:r>
      <w:r w:rsidR="000F6928" w:rsidRPr="0099688B">
        <w:rPr>
          <w:szCs w:val="24"/>
        </w:rPr>
        <w:t>2</w:t>
      </w:r>
      <w:r w:rsidR="00DE6139" w:rsidRPr="0099688B">
        <w:rPr>
          <w:szCs w:val="24"/>
        </w:rPr>
        <w:t>4</w:t>
      </w:r>
      <w:r w:rsidR="00E63BF4" w:rsidRPr="0099688B">
        <w:rPr>
          <w:szCs w:val="24"/>
        </w:rPr>
        <w:t xml:space="preserve"> at </w:t>
      </w:r>
      <w:r w:rsidR="000F6928" w:rsidRPr="0099688B">
        <w:rPr>
          <w:szCs w:val="24"/>
        </w:rPr>
        <w:t>p</w:t>
      </w:r>
      <w:r w:rsidR="00DE6139" w:rsidRPr="0099688B">
        <w:rPr>
          <w:szCs w:val="24"/>
        </w:rPr>
        <w:t>p</w:t>
      </w:r>
      <w:r w:rsidR="000F6928" w:rsidRPr="0099688B">
        <w:rPr>
          <w:szCs w:val="24"/>
        </w:rPr>
        <w:t xml:space="preserve">. </w:t>
      </w:r>
      <w:r w:rsidR="00DE6139" w:rsidRPr="0099688B">
        <w:rPr>
          <w:szCs w:val="24"/>
        </w:rPr>
        <w:t>4-5</w:t>
      </w:r>
      <w:r w:rsidR="00E63BF4" w:rsidRPr="0099688B">
        <w:rPr>
          <w:szCs w:val="24"/>
        </w:rPr>
        <w:t xml:space="preserve">), </w:t>
      </w:r>
      <w:r w:rsidRPr="0099688B">
        <w:rPr>
          <w:i/>
          <w:iCs/>
          <w:szCs w:val="24"/>
        </w:rPr>
        <w:t>Optavia</w:t>
      </w:r>
      <w:r w:rsidRPr="0099688B">
        <w:rPr>
          <w:szCs w:val="24"/>
        </w:rPr>
        <w:t xml:space="preserve"> (Doc. 17 at</w:t>
      </w:r>
      <w:r w:rsidRPr="00C44F9A">
        <w:rPr>
          <w:szCs w:val="24"/>
        </w:rPr>
        <w:t xml:space="preserve"> p. 7)</w:t>
      </w:r>
      <w:r w:rsidR="00634423" w:rsidRPr="00C44F9A">
        <w:rPr>
          <w:szCs w:val="24"/>
        </w:rPr>
        <w:t>,</w:t>
      </w:r>
      <w:r w:rsidRPr="00C44F9A">
        <w:rPr>
          <w:szCs w:val="24"/>
        </w:rPr>
        <w:t xml:space="preserve"> and </w:t>
      </w:r>
      <w:r w:rsidRPr="00C44F9A">
        <w:rPr>
          <w:i/>
          <w:iCs/>
          <w:szCs w:val="24"/>
        </w:rPr>
        <w:t>Poly-Wood</w:t>
      </w:r>
      <w:r w:rsidRPr="00C44F9A">
        <w:rPr>
          <w:szCs w:val="24"/>
        </w:rPr>
        <w:t xml:space="preserve"> (Doc </w:t>
      </w:r>
      <w:r w:rsidR="00E140EF">
        <w:rPr>
          <w:szCs w:val="24"/>
        </w:rPr>
        <w:t>45</w:t>
      </w:r>
      <w:r w:rsidRPr="00C44F9A">
        <w:rPr>
          <w:szCs w:val="24"/>
        </w:rPr>
        <w:t xml:space="preserve"> at p. 2). This Court </w:t>
      </w:r>
      <w:r w:rsidRPr="00152834">
        <w:rPr>
          <w:szCs w:val="24"/>
        </w:rPr>
        <w:t>should too.</w:t>
      </w:r>
    </w:p>
    <w:p w14:paraId="658C3E0E" w14:textId="77777777" w:rsidR="002701E8" w:rsidRPr="00152834" w:rsidRDefault="002701E8" w:rsidP="006C7448">
      <w:pPr>
        <w:pStyle w:val="ListParagraph"/>
        <w:keepNext/>
        <w:widowControl w:val="0"/>
        <w:numPr>
          <w:ilvl w:val="2"/>
          <w:numId w:val="4"/>
        </w:numPr>
        <w:spacing w:after="240"/>
        <w:ind w:left="2880" w:right="720" w:hanging="720"/>
        <w:contextualSpacing w:val="0"/>
        <w:rPr>
          <w:b/>
          <w:bCs/>
          <w:szCs w:val="24"/>
        </w:rPr>
      </w:pPr>
      <w:r w:rsidRPr="00152834">
        <w:rPr>
          <w:b/>
          <w:bCs/>
          <w:szCs w:val="24"/>
        </w:rPr>
        <w:t>Commonality</w:t>
      </w:r>
    </w:p>
    <w:p w14:paraId="50359373" w14:textId="00163EED" w:rsidR="002701E8" w:rsidRPr="006D1B3F" w:rsidRDefault="00385831" w:rsidP="006C7448">
      <w:pPr>
        <w:widowControl w:val="0"/>
        <w:spacing w:line="480" w:lineRule="auto"/>
        <w:ind w:firstLine="720"/>
        <w:jc w:val="both"/>
        <w:rPr>
          <w:szCs w:val="24"/>
        </w:rPr>
      </w:pPr>
      <w:r w:rsidRPr="00256F11">
        <w:rPr>
          <w:szCs w:val="24"/>
        </w:rPr>
        <w:t>The Court must find</w:t>
      </w:r>
      <w:r w:rsidR="002701E8" w:rsidRPr="00256F11">
        <w:rPr>
          <w:szCs w:val="24"/>
        </w:rPr>
        <w:t xml:space="preserve"> “there are questions of law or fact common to the class.” Fed. R. Civ. P. 23(a)(2). </w:t>
      </w:r>
      <w:r w:rsidRPr="00256F11">
        <w:rPr>
          <w:szCs w:val="24"/>
        </w:rPr>
        <w:t>I</w:t>
      </w:r>
      <w:r w:rsidR="002701E8" w:rsidRPr="00256F11">
        <w:rPr>
          <w:szCs w:val="24"/>
        </w:rPr>
        <w:t xml:space="preserve">n cases seeking injunctive relief, “[t]he commonality requirement will be satisfied if the named </w:t>
      </w:r>
      <w:r w:rsidR="001F040C" w:rsidRPr="00256F11">
        <w:rPr>
          <w:szCs w:val="24"/>
        </w:rPr>
        <w:t>p</w:t>
      </w:r>
      <w:r w:rsidR="002701E8" w:rsidRPr="00256F11">
        <w:rPr>
          <w:szCs w:val="24"/>
        </w:rPr>
        <w:t>laintiff</w:t>
      </w:r>
      <w:r w:rsidR="001F040C" w:rsidRPr="00256F11">
        <w:rPr>
          <w:szCs w:val="24"/>
        </w:rPr>
        <w:t>s</w:t>
      </w:r>
      <w:r w:rsidR="002701E8" w:rsidRPr="00256F11">
        <w:rPr>
          <w:szCs w:val="24"/>
        </w:rPr>
        <w:t xml:space="preserve"> share at least one question of fact or law with the grievances of the prospective clas</w:t>
      </w:r>
      <w:r w:rsidR="001F040C" w:rsidRPr="00256F11">
        <w:rPr>
          <w:szCs w:val="24"/>
        </w:rPr>
        <w:t xml:space="preserve">s. </w:t>
      </w:r>
      <w:r w:rsidR="00BF5387" w:rsidRPr="00256F11">
        <w:rPr>
          <w:szCs w:val="24"/>
        </w:rPr>
        <w:t xml:space="preserve">. . . </w:t>
      </w:r>
      <w:r w:rsidR="002701E8" w:rsidRPr="00256F11">
        <w:rPr>
          <w:szCs w:val="24"/>
        </w:rPr>
        <w:t>Because the requirement may be satisfied by a single common issue, it is easily met</w:t>
      </w:r>
      <w:r w:rsidR="009A313D" w:rsidRPr="00256F11">
        <w:rPr>
          <w:szCs w:val="24"/>
        </w:rPr>
        <w:t>[</w:t>
      </w:r>
      <w:r w:rsidR="002701E8" w:rsidRPr="00256F11">
        <w:rPr>
          <w:szCs w:val="24"/>
        </w:rPr>
        <w:t>.</w:t>
      </w:r>
      <w:r w:rsidR="009A313D" w:rsidRPr="00256F11">
        <w:rPr>
          <w:szCs w:val="24"/>
        </w:rPr>
        <w:t>]</w:t>
      </w:r>
      <w:r w:rsidR="002701E8" w:rsidRPr="00256F11">
        <w:rPr>
          <w:szCs w:val="24"/>
        </w:rPr>
        <w:t>”</w:t>
      </w:r>
      <w:r w:rsidR="00BF5387" w:rsidRPr="00256F11">
        <w:rPr>
          <w:szCs w:val="24"/>
        </w:rPr>
        <w:t xml:space="preserve"> </w:t>
      </w:r>
      <w:r w:rsidR="002701E8" w:rsidRPr="00256F11">
        <w:rPr>
          <w:i/>
          <w:iCs/>
          <w:szCs w:val="24"/>
        </w:rPr>
        <w:t>Baby Neal v. Casey</w:t>
      </w:r>
      <w:r w:rsidR="002701E8" w:rsidRPr="00256F11">
        <w:rPr>
          <w:szCs w:val="24"/>
        </w:rPr>
        <w:t xml:space="preserve">, 43 F.3d 48, 56 (3d Cir. 1994). Further, “because they do not also involve an </w:t>
      </w:r>
      <w:r w:rsidR="002701E8" w:rsidRPr="006D1B3F">
        <w:rPr>
          <w:szCs w:val="24"/>
        </w:rPr>
        <w:t xml:space="preserve">individualized inquiry for the determination of damage awards, injunctive actions </w:t>
      </w:r>
      <w:r w:rsidR="00A74F37" w:rsidRPr="006D1B3F">
        <w:rPr>
          <w:szCs w:val="24"/>
        </w:rPr>
        <w:t>‘</w:t>
      </w:r>
      <w:r w:rsidR="002701E8" w:rsidRPr="006D1B3F">
        <w:rPr>
          <w:szCs w:val="24"/>
        </w:rPr>
        <w:t>by their very nature often present common questions satisfying Rule 23(a)(2).</w:t>
      </w:r>
      <w:r w:rsidR="00A74F37" w:rsidRPr="006D1B3F">
        <w:rPr>
          <w:szCs w:val="24"/>
        </w:rPr>
        <w:t>’</w:t>
      </w:r>
      <w:r w:rsidR="002701E8" w:rsidRPr="006D1B3F">
        <w:rPr>
          <w:szCs w:val="24"/>
        </w:rPr>
        <w:t xml:space="preserve">” </w:t>
      </w:r>
      <w:r w:rsidR="002701E8" w:rsidRPr="006D1B3F">
        <w:rPr>
          <w:i/>
          <w:iCs/>
          <w:szCs w:val="24"/>
        </w:rPr>
        <w:t xml:space="preserve">Id. </w:t>
      </w:r>
      <w:r w:rsidR="002701E8" w:rsidRPr="006D1B3F">
        <w:rPr>
          <w:szCs w:val="24"/>
        </w:rPr>
        <w:t>at 57</w:t>
      </w:r>
      <w:r w:rsidR="00A74F37" w:rsidRPr="006D1B3F">
        <w:rPr>
          <w:szCs w:val="24"/>
        </w:rPr>
        <w:t>.</w:t>
      </w:r>
    </w:p>
    <w:p w14:paraId="32667FFD" w14:textId="1E80DF0D" w:rsidR="002701E8" w:rsidRPr="006D1B3F" w:rsidRDefault="00517E65" w:rsidP="006C7448">
      <w:pPr>
        <w:widowControl w:val="0"/>
        <w:spacing w:line="480" w:lineRule="auto"/>
        <w:ind w:firstLine="720"/>
        <w:jc w:val="both"/>
        <w:rPr>
          <w:szCs w:val="24"/>
        </w:rPr>
      </w:pPr>
      <w:r w:rsidRPr="006D1B3F">
        <w:rPr>
          <w:szCs w:val="24"/>
        </w:rPr>
        <w:t>The</w:t>
      </w:r>
      <w:r w:rsidR="002701E8" w:rsidRPr="006D1B3F">
        <w:rPr>
          <w:szCs w:val="24"/>
        </w:rPr>
        <w:t xml:space="preserve"> commonality requirement is satisfied here. There are numerous factual and legal issues common to Plaintiff and the Settlement Class Members, </w:t>
      </w:r>
      <w:r w:rsidR="009C4ECF" w:rsidRPr="006D1B3F">
        <w:rPr>
          <w:szCs w:val="24"/>
        </w:rPr>
        <w:t>like:</w:t>
      </w:r>
      <w:r w:rsidR="002701E8" w:rsidRPr="006D1B3F">
        <w:rPr>
          <w:szCs w:val="24"/>
        </w:rPr>
        <w:t xml:space="preserve"> whether they have been, are being, or will be denied full and equal access to, and use and enjoyment of, Defendant’s </w:t>
      </w:r>
      <w:r w:rsidR="00701899" w:rsidRPr="006D1B3F">
        <w:rPr>
          <w:szCs w:val="24"/>
        </w:rPr>
        <w:t>Website</w:t>
      </w:r>
      <w:r w:rsidR="00FD5A2E" w:rsidRPr="006D1B3F">
        <w:rPr>
          <w:szCs w:val="24"/>
        </w:rPr>
        <w:t>s</w:t>
      </w:r>
      <w:r w:rsidR="002701E8" w:rsidRPr="006D1B3F">
        <w:rPr>
          <w:szCs w:val="24"/>
        </w:rPr>
        <w:t xml:space="preserve"> due to Defendant’s alleged failure to make </w:t>
      </w:r>
      <w:r w:rsidR="00FD5A2E" w:rsidRPr="006D1B3F">
        <w:rPr>
          <w:szCs w:val="24"/>
        </w:rPr>
        <w:t>them</w:t>
      </w:r>
      <w:r w:rsidR="002701E8" w:rsidRPr="006D1B3F">
        <w:rPr>
          <w:szCs w:val="24"/>
        </w:rPr>
        <w:t xml:space="preserve"> fully and equally accessible </w:t>
      </w:r>
      <w:r w:rsidRPr="006D1B3F">
        <w:rPr>
          <w:szCs w:val="24"/>
        </w:rPr>
        <w:t xml:space="preserve">to </w:t>
      </w:r>
      <w:r w:rsidR="002701E8" w:rsidRPr="006D1B3F">
        <w:rPr>
          <w:szCs w:val="24"/>
        </w:rPr>
        <w:t xml:space="preserve">and useable by </w:t>
      </w:r>
      <w:r w:rsidR="00701899" w:rsidRPr="006D1B3F">
        <w:rPr>
          <w:szCs w:val="24"/>
        </w:rPr>
        <w:t>individuals</w:t>
      </w:r>
      <w:r w:rsidR="002701E8" w:rsidRPr="006D1B3F">
        <w:rPr>
          <w:szCs w:val="24"/>
        </w:rPr>
        <w:t xml:space="preserve"> who </w:t>
      </w:r>
      <w:r w:rsidR="00701899" w:rsidRPr="006D1B3F">
        <w:rPr>
          <w:szCs w:val="24"/>
        </w:rPr>
        <w:t xml:space="preserve">use </w:t>
      </w:r>
      <w:r w:rsidR="002701E8" w:rsidRPr="006D1B3F">
        <w:rPr>
          <w:szCs w:val="24"/>
        </w:rPr>
        <w:t xml:space="preserve">screen reader </w:t>
      </w:r>
      <w:r w:rsidR="00701899" w:rsidRPr="006D1B3F">
        <w:rPr>
          <w:szCs w:val="24"/>
        </w:rPr>
        <w:t>auxiliary aids</w:t>
      </w:r>
      <w:r w:rsidR="002701E8" w:rsidRPr="006D1B3F">
        <w:rPr>
          <w:szCs w:val="24"/>
        </w:rPr>
        <w:t xml:space="preserve"> to access digital content</w:t>
      </w:r>
      <w:r w:rsidR="009C4ECF" w:rsidRPr="006D1B3F">
        <w:rPr>
          <w:szCs w:val="24"/>
        </w:rPr>
        <w:t xml:space="preserve">; and </w:t>
      </w:r>
      <w:r w:rsidR="002701E8" w:rsidRPr="006D1B3F">
        <w:rPr>
          <w:szCs w:val="24"/>
        </w:rPr>
        <w:t>what actions are required</w:t>
      </w:r>
      <w:r w:rsidR="00FD5A2E" w:rsidRPr="006D1B3F">
        <w:rPr>
          <w:szCs w:val="24"/>
        </w:rPr>
        <w:t xml:space="preserve"> </w:t>
      </w:r>
      <w:r w:rsidR="00701899" w:rsidRPr="006D1B3F">
        <w:rPr>
          <w:szCs w:val="24"/>
        </w:rPr>
        <w:t>by law</w:t>
      </w:r>
      <w:r w:rsidR="002701E8" w:rsidRPr="006D1B3F">
        <w:rPr>
          <w:szCs w:val="24"/>
        </w:rPr>
        <w:t xml:space="preserve"> to ensure Defendant’s </w:t>
      </w:r>
      <w:r w:rsidR="00701899" w:rsidRPr="006D1B3F">
        <w:rPr>
          <w:szCs w:val="24"/>
        </w:rPr>
        <w:t>Website</w:t>
      </w:r>
      <w:r w:rsidR="003F309A" w:rsidRPr="006D1B3F">
        <w:rPr>
          <w:szCs w:val="24"/>
        </w:rPr>
        <w:t>s are</w:t>
      </w:r>
      <w:r w:rsidR="002701E8" w:rsidRPr="006D1B3F">
        <w:rPr>
          <w:szCs w:val="24"/>
        </w:rPr>
        <w:t xml:space="preserve"> accessible</w:t>
      </w:r>
      <w:r w:rsidR="00701899" w:rsidRPr="006D1B3F">
        <w:rPr>
          <w:szCs w:val="24"/>
        </w:rPr>
        <w:t xml:space="preserve"> to them</w:t>
      </w:r>
      <w:r w:rsidR="002701E8" w:rsidRPr="006D1B3F">
        <w:rPr>
          <w:szCs w:val="24"/>
        </w:rPr>
        <w:t xml:space="preserve">. The </w:t>
      </w:r>
      <w:r w:rsidR="00CD6EC5" w:rsidRPr="006D1B3F">
        <w:rPr>
          <w:szCs w:val="24"/>
        </w:rPr>
        <w:t>commonality</w:t>
      </w:r>
      <w:r w:rsidR="009C4ECF" w:rsidRPr="006D1B3F">
        <w:rPr>
          <w:szCs w:val="24"/>
        </w:rPr>
        <w:t xml:space="preserve"> </w:t>
      </w:r>
      <w:r w:rsidR="002701E8" w:rsidRPr="006D1B3F">
        <w:rPr>
          <w:szCs w:val="24"/>
        </w:rPr>
        <w:t xml:space="preserve">requirement is </w:t>
      </w:r>
      <w:r w:rsidR="009A00DA" w:rsidRPr="006D1B3F">
        <w:rPr>
          <w:szCs w:val="24"/>
        </w:rPr>
        <w:t>met</w:t>
      </w:r>
      <w:r w:rsidR="002701E8" w:rsidRPr="006D1B3F">
        <w:rPr>
          <w:szCs w:val="24"/>
        </w:rPr>
        <w:t>.</w:t>
      </w:r>
      <w:r w:rsidR="00701899" w:rsidRPr="006D1B3F">
        <w:rPr>
          <w:szCs w:val="24"/>
        </w:rPr>
        <w:t xml:space="preserve"> </w:t>
      </w:r>
      <w:r w:rsidR="00701899" w:rsidRPr="006D1B3F">
        <w:rPr>
          <w:i/>
          <w:iCs/>
          <w:szCs w:val="24"/>
        </w:rPr>
        <w:t xml:space="preserve">See </w:t>
      </w:r>
      <w:r w:rsidR="002701E8" w:rsidRPr="006D1B3F">
        <w:rPr>
          <w:i/>
          <w:iCs/>
          <w:szCs w:val="24"/>
        </w:rPr>
        <w:t>Baby Neal</w:t>
      </w:r>
      <w:r w:rsidR="002701E8" w:rsidRPr="006D1B3F">
        <w:rPr>
          <w:szCs w:val="24"/>
        </w:rPr>
        <w:t xml:space="preserve">, 43 F.3d at </w:t>
      </w:r>
      <w:r w:rsidR="006C6009" w:rsidRPr="006D1B3F">
        <w:rPr>
          <w:szCs w:val="24"/>
        </w:rPr>
        <w:t>60-</w:t>
      </w:r>
      <w:r w:rsidR="002701E8" w:rsidRPr="006D1B3F">
        <w:rPr>
          <w:szCs w:val="24"/>
        </w:rPr>
        <w:t xml:space="preserve">62 (finding common factual and legal issues under </w:t>
      </w:r>
      <w:r w:rsidR="00CD6EC5" w:rsidRPr="006D1B3F">
        <w:rPr>
          <w:szCs w:val="24"/>
        </w:rPr>
        <w:t>relevant</w:t>
      </w:r>
      <w:r w:rsidR="002701E8" w:rsidRPr="006D1B3F">
        <w:rPr>
          <w:szCs w:val="24"/>
        </w:rPr>
        <w:t xml:space="preserve"> standard).</w:t>
      </w:r>
    </w:p>
    <w:p w14:paraId="51E0EFA8" w14:textId="6ECF2B4A" w:rsidR="006C6009" w:rsidRPr="008A0B65" w:rsidRDefault="006C6009" w:rsidP="006C7448">
      <w:pPr>
        <w:widowControl w:val="0"/>
        <w:spacing w:line="480" w:lineRule="auto"/>
        <w:ind w:firstLine="720"/>
        <w:jc w:val="both"/>
        <w:rPr>
          <w:szCs w:val="24"/>
        </w:rPr>
      </w:pPr>
      <w:r w:rsidRPr="00D54C82">
        <w:rPr>
          <w:szCs w:val="24"/>
        </w:rPr>
        <w:t xml:space="preserve">Courts found </w:t>
      </w:r>
      <w:r w:rsidR="00DF7F29">
        <w:rPr>
          <w:szCs w:val="24"/>
        </w:rPr>
        <w:t xml:space="preserve">that </w:t>
      </w:r>
      <w:r w:rsidRPr="00D54C82">
        <w:rPr>
          <w:szCs w:val="24"/>
        </w:rPr>
        <w:t xml:space="preserve">identical classes satisfied commonality in </w:t>
      </w:r>
      <w:r w:rsidRPr="00D54C82">
        <w:rPr>
          <w:i/>
          <w:iCs/>
          <w:szCs w:val="24"/>
        </w:rPr>
        <w:t xml:space="preserve">Eyebobs </w:t>
      </w:r>
      <w:r w:rsidRPr="00D54C82">
        <w:rPr>
          <w:szCs w:val="24"/>
        </w:rPr>
        <w:t>(Doc. 36 at p</w:t>
      </w:r>
      <w:r w:rsidR="00FE5E80" w:rsidRPr="00D54C82">
        <w:rPr>
          <w:szCs w:val="24"/>
        </w:rPr>
        <w:t>p</w:t>
      </w:r>
      <w:r w:rsidRPr="00D54C82">
        <w:rPr>
          <w:szCs w:val="24"/>
        </w:rPr>
        <w:t>. 4</w:t>
      </w:r>
      <w:r w:rsidR="00FE5E80" w:rsidRPr="00D54C82">
        <w:rPr>
          <w:szCs w:val="24"/>
        </w:rPr>
        <w:t>-5</w:t>
      </w:r>
      <w:r w:rsidRPr="00D54C82">
        <w:rPr>
          <w:szCs w:val="24"/>
        </w:rPr>
        <w:t>)</w:t>
      </w:r>
      <w:r w:rsidR="0060640E" w:rsidRPr="00D54C82">
        <w:rPr>
          <w:szCs w:val="24"/>
        </w:rPr>
        <w:t>,</w:t>
      </w:r>
      <w:r w:rsidRPr="00D54C82">
        <w:rPr>
          <w:szCs w:val="24"/>
        </w:rPr>
        <w:t xml:space="preserve"> </w:t>
      </w:r>
      <w:r w:rsidRPr="00D54C82">
        <w:rPr>
          <w:i/>
          <w:iCs/>
          <w:szCs w:val="24"/>
        </w:rPr>
        <w:t>Charles Tyrwhitt</w:t>
      </w:r>
      <w:r w:rsidRPr="00D54C82">
        <w:rPr>
          <w:szCs w:val="24"/>
        </w:rPr>
        <w:t xml:space="preserve"> (</w:t>
      </w:r>
      <w:r w:rsidRPr="008A0B65">
        <w:rPr>
          <w:szCs w:val="24"/>
        </w:rPr>
        <w:t>Doc. 30 at p</w:t>
      </w:r>
      <w:r w:rsidR="0060640E" w:rsidRPr="008A0B65">
        <w:rPr>
          <w:szCs w:val="24"/>
        </w:rPr>
        <w:t>p</w:t>
      </w:r>
      <w:r w:rsidRPr="008A0B65">
        <w:rPr>
          <w:szCs w:val="24"/>
        </w:rPr>
        <w:t>. 4</w:t>
      </w:r>
      <w:r w:rsidR="0060640E" w:rsidRPr="008A0B65">
        <w:rPr>
          <w:szCs w:val="24"/>
        </w:rPr>
        <w:t>-5</w:t>
      </w:r>
      <w:r w:rsidRPr="008A0B65">
        <w:rPr>
          <w:szCs w:val="24"/>
        </w:rPr>
        <w:t>),</w:t>
      </w:r>
      <w:r w:rsidR="004872B2" w:rsidRPr="004872B2">
        <w:rPr>
          <w:i/>
          <w:iCs/>
          <w:szCs w:val="24"/>
        </w:rPr>
        <w:t xml:space="preserve"> </w:t>
      </w:r>
      <w:r w:rsidR="004872B2" w:rsidRPr="0099688B">
        <w:rPr>
          <w:i/>
          <w:iCs/>
          <w:szCs w:val="24"/>
        </w:rPr>
        <w:t>The Hundreds</w:t>
      </w:r>
      <w:r w:rsidR="004872B2" w:rsidRPr="0099688B">
        <w:rPr>
          <w:szCs w:val="24"/>
        </w:rPr>
        <w:t xml:space="preserve"> (Doc. 24 at pp. </w:t>
      </w:r>
      <w:r w:rsidR="00DF7F29">
        <w:rPr>
          <w:szCs w:val="24"/>
        </w:rPr>
        <w:t>5</w:t>
      </w:r>
      <w:r w:rsidR="004872B2" w:rsidRPr="0099688B">
        <w:rPr>
          <w:szCs w:val="24"/>
        </w:rPr>
        <w:t>-</w:t>
      </w:r>
      <w:r w:rsidR="00DF7F29">
        <w:rPr>
          <w:szCs w:val="24"/>
        </w:rPr>
        <w:t>6</w:t>
      </w:r>
      <w:r w:rsidR="004872B2" w:rsidRPr="0099688B">
        <w:rPr>
          <w:szCs w:val="24"/>
        </w:rPr>
        <w:t>),</w:t>
      </w:r>
      <w:r w:rsidRPr="008A0B65">
        <w:rPr>
          <w:szCs w:val="24"/>
        </w:rPr>
        <w:t xml:space="preserve"> </w:t>
      </w:r>
      <w:r w:rsidRPr="008A0B65">
        <w:rPr>
          <w:i/>
          <w:iCs/>
          <w:szCs w:val="24"/>
        </w:rPr>
        <w:t>Optavia</w:t>
      </w:r>
      <w:r w:rsidRPr="008A0B65">
        <w:rPr>
          <w:szCs w:val="24"/>
        </w:rPr>
        <w:t xml:space="preserve"> (Doc. 17 at p. 7), and </w:t>
      </w:r>
      <w:r w:rsidRPr="008A0B65">
        <w:rPr>
          <w:i/>
          <w:iCs/>
          <w:szCs w:val="24"/>
        </w:rPr>
        <w:t>Poly-Wood</w:t>
      </w:r>
      <w:r w:rsidRPr="008A0B65">
        <w:rPr>
          <w:szCs w:val="24"/>
        </w:rPr>
        <w:t xml:space="preserve"> (Doc </w:t>
      </w:r>
      <w:r w:rsidR="00E140EF">
        <w:rPr>
          <w:szCs w:val="24"/>
        </w:rPr>
        <w:t>45</w:t>
      </w:r>
      <w:r w:rsidRPr="008A0B65">
        <w:rPr>
          <w:szCs w:val="24"/>
        </w:rPr>
        <w:t xml:space="preserve"> at p. 2). This Court should too.</w:t>
      </w:r>
    </w:p>
    <w:p w14:paraId="2148E541" w14:textId="77777777" w:rsidR="002701E8" w:rsidRPr="00560419" w:rsidRDefault="002701E8" w:rsidP="006C7448">
      <w:pPr>
        <w:pStyle w:val="ListParagraph"/>
        <w:keepNext/>
        <w:widowControl w:val="0"/>
        <w:numPr>
          <w:ilvl w:val="2"/>
          <w:numId w:val="4"/>
        </w:numPr>
        <w:spacing w:after="240"/>
        <w:ind w:left="2880" w:right="720" w:hanging="720"/>
        <w:contextualSpacing w:val="0"/>
        <w:rPr>
          <w:b/>
          <w:bCs/>
          <w:szCs w:val="24"/>
        </w:rPr>
      </w:pPr>
      <w:r w:rsidRPr="00560419">
        <w:rPr>
          <w:b/>
          <w:bCs/>
          <w:szCs w:val="24"/>
        </w:rPr>
        <w:t>Typicality</w:t>
      </w:r>
    </w:p>
    <w:p w14:paraId="048FA803" w14:textId="365788A6" w:rsidR="002701E8" w:rsidRPr="00DB614B" w:rsidRDefault="006F7BB6" w:rsidP="006C7448">
      <w:pPr>
        <w:widowControl w:val="0"/>
        <w:spacing w:line="480" w:lineRule="auto"/>
        <w:ind w:firstLine="720"/>
        <w:jc w:val="both"/>
        <w:rPr>
          <w:szCs w:val="24"/>
        </w:rPr>
      </w:pPr>
      <w:r w:rsidRPr="00DB614B">
        <w:rPr>
          <w:szCs w:val="24"/>
        </w:rPr>
        <w:t xml:space="preserve">The Court must find the </w:t>
      </w:r>
      <w:r w:rsidR="003B7172" w:rsidRPr="00DB614B">
        <w:rPr>
          <w:szCs w:val="24"/>
        </w:rPr>
        <w:t xml:space="preserve">named plaintiff’s </w:t>
      </w:r>
      <w:r w:rsidRPr="00DB614B">
        <w:rPr>
          <w:szCs w:val="24"/>
        </w:rPr>
        <w:t xml:space="preserve">claims are typical of the </w:t>
      </w:r>
      <w:r w:rsidR="003B7172" w:rsidRPr="00DB614B">
        <w:rPr>
          <w:szCs w:val="24"/>
        </w:rPr>
        <w:t>class members’ claims</w:t>
      </w:r>
      <w:r w:rsidRPr="00DB614B">
        <w:rPr>
          <w:szCs w:val="24"/>
        </w:rPr>
        <w:t xml:space="preserve">. </w:t>
      </w:r>
      <w:r w:rsidRPr="00DB614B">
        <w:rPr>
          <w:szCs w:val="24"/>
        </w:rPr>
        <w:lastRenderedPageBreak/>
        <w:t xml:space="preserve">Fed. R. Civ. P. 23(a)(3). </w:t>
      </w:r>
      <w:r w:rsidR="002701E8" w:rsidRPr="00DB614B">
        <w:rPr>
          <w:szCs w:val="24"/>
        </w:rPr>
        <w:t>“</w:t>
      </w:r>
      <w:r w:rsidR="003B7172" w:rsidRPr="00DB614B">
        <w:rPr>
          <w:szCs w:val="24"/>
        </w:rPr>
        <w:t xml:space="preserve">Typicality </w:t>
      </w:r>
      <w:r w:rsidR="002701E8" w:rsidRPr="00DB614B">
        <w:rPr>
          <w:szCs w:val="24"/>
        </w:rPr>
        <w:t xml:space="preserve">entails an inquiry [into] whether </w:t>
      </w:r>
      <w:r w:rsidR="003B7172" w:rsidRPr="00DB614B">
        <w:rPr>
          <w:szCs w:val="24"/>
        </w:rPr>
        <w:t>‘</w:t>
      </w:r>
      <w:r w:rsidR="002701E8" w:rsidRPr="00DB614B">
        <w:rPr>
          <w:szCs w:val="24"/>
        </w:rPr>
        <w:t xml:space="preserve">the named </w:t>
      </w:r>
      <w:r w:rsidR="003B7172" w:rsidRPr="00DB614B">
        <w:rPr>
          <w:szCs w:val="24"/>
        </w:rPr>
        <w:t>p</w:t>
      </w:r>
      <w:r w:rsidR="002701E8" w:rsidRPr="00DB614B">
        <w:rPr>
          <w:szCs w:val="24"/>
        </w:rPr>
        <w:t xml:space="preserve">laintiff’s individual circumstances are markedly different or </w:t>
      </w:r>
      <w:r w:rsidR="003B7172" w:rsidRPr="00DB614B">
        <w:rPr>
          <w:szCs w:val="24"/>
        </w:rPr>
        <w:t xml:space="preserve">. . . </w:t>
      </w:r>
      <w:r w:rsidR="002701E8" w:rsidRPr="00DB614B">
        <w:rPr>
          <w:szCs w:val="24"/>
        </w:rPr>
        <w:t>the legal theory upon which the claims are based differs from that upon which the claims of other class members will be based.</w:t>
      </w:r>
      <w:r w:rsidR="003B7172" w:rsidRPr="00DB614B">
        <w:rPr>
          <w:szCs w:val="24"/>
        </w:rPr>
        <w:t>’</w:t>
      </w:r>
      <w:r w:rsidR="002701E8" w:rsidRPr="00DB614B">
        <w:rPr>
          <w:szCs w:val="24"/>
        </w:rPr>
        <w:t xml:space="preserve">” </w:t>
      </w:r>
      <w:r w:rsidR="002701E8" w:rsidRPr="00DB614B">
        <w:rPr>
          <w:i/>
          <w:iCs/>
          <w:szCs w:val="24"/>
        </w:rPr>
        <w:t>Baby Neal</w:t>
      </w:r>
      <w:r w:rsidR="002701E8" w:rsidRPr="00DB614B">
        <w:rPr>
          <w:szCs w:val="24"/>
        </w:rPr>
        <w:t xml:space="preserve">, 43 F.3d at 57-58. </w:t>
      </w:r>
      <w:r w:rsidR="00DE211C" w:rsidRPr="00DB614B">
        <w:rPr>
          <w:szCs w:val="24"/>
        </w:rPr>
        <w:t>“[C]</w:t>
      </w:r>
      <w:proofErr w:type="spellStart"/>
      <w:r w:rsidR="00DE211C" w:rsidRPr="00DB614B">
        <w:rPr>
          <w:szCs w:val="24"/>
        </w:rPr>
        <w:t>ases</w:t>
      </w:r>
      <w:proofErr w:type="spellEnd"/>
      <w:r w:rsidR="00DE211C" w:rsidRPr="00DB614B">
        <w:rPr>
          <w:szCs w:val="24"/>
        </w:rPr>
        <w:t xml:space="preserve"> challenging the same unlawful conduct which affects both the named plaintiffs and the putative class usually satisfy the typicality requirement irrespective of the varying fact patterns underlying the individual claims. . . . </w:t>
      </w:r>
      <w:r w:rsidR="002701E8" w:rsidRPr="00DB614B">
        <w:rPr>
          <w:szCs w:val="24"/>
        </w:rPr>
        <w:t xml:space="preserve">Actions requesting declaratory and injunctive relief to remedy conduct directed at the class clearly fit this mold.” </w:t>
      </w:r>
      <w:r w:rsidR="002701E8" w:rsidRPr="00DB614B">
        <w:rPr>
          <w:i/>
          <w:iCs/>
          <w:szCs w:val="24"/>
        </w:rPr>
        <w:t>Id</w:t>
      </w:r>
      <w:r w:rsidR="002701E8" w:rsidRPr="00DB614B">
        <w:rPr>
          <w:szCs w:val="24"/>
        </w:rPr>
        <w:t>. at 58.</w:t>
      </w:r>
    </w:p>
    <w:p w14:paraId="162D33D0" w14:textId="22A9D6DD" w:rsidR="002701E8" w:rsidRPr="00400984" w:rsidRDefault="00DE211C" w:rsidP="006C7448">
      <w:pPr>
        <w:widowControl w:val="0"/>
        <w:spacing w:line="480" w:lineRule="auto"/>
        <w:ind w:firstLine="720"/>
        <w:jc w:val="both"/>
        <w:rPr>
          <w:szCs w:val="24"/>
        </w:rPr>
      </w:pPr>
      <w:r w:rsidRPr="00400984">
        <w:rPr>
          <w:szCs w:val="24"/>
        </w:rPr>
        <w:t>T</w:t>
      </w:r>
      <w:r w:rsidR="002701E8" w:rsidRPr="00400984">
        <w:rPr>
          <w:szCs w:val="24"/>
        </w:rPr>
        <w:t xml:space="preserve">he typicality requirement </w:t>
      </w:r>
      <w:r w:rsidRPr="00400984">
        <w:rPr>
          <w:szCs w:val="24"/>
        </w:rPr>
        <w:t xml:space="preserve">is satisfied </w:t>
      </w:r>
      <w:r w:rsidR="00AF57E8" w:rsidRPr="00400984">
        <w:rPr>
          <w:szCs w:val="24"/>
        </w:rPr>
        <w:t>here</w:t>
      </w:r>
      <w:r w:rsidR="002701E8" w:rsidRPr="00400984">
        <w:rPr>
          <w:szCs w:val="24"/>
        </w:rPr>
        <w:t xml:space="preserve">. Plaintiff’s </w:t>
      </w:r>
      <w:r w:rsidR="002F5B28" w:rsidRPr="00400984">
        <w:rPr>
          <w:szCs w:val="24"/>
        </w:rPr>
        <w:t xml:space="preserve">and the Settlement Class Members’ </w:t>
      </w:r>
      <w:r w:rsidR="002701E8" w:rsidRPr="00400984">
        <w:rPr>
          <w:szCs w:val="24"/>
        </w:rPr>
        <w:t>claims are typical since both sets of claims arise from the same practices and are based on the same legal theor</w:t>
      </w:r>
      <w:r w:rsidR="00636431" w:rsidRPr="00400984">
        <w:rPr>
          <w:szCs w:val="24"/>
        </w:rPr>
        <w:t>y</w:t>
      </w:r>
      <w:r w:rsidR="002701E8" w:rsidRPr="00400984">
        <w:rPr>
          <w:szCs w:val="24"/>
        </w:rPr>
        <w:t>: that Defendant failed to make its online store</w:t>
      </w:r>
      <w:r w:rsidR="00636431" w:rsidRPr="00400984">
        <w:rPr>
          <w:szCs w:val="24"/>
        </w:rPr>
        <w:t>s</w:t>
      </w:r>
      <w:r w:rsidR="002701E8" w:rsidRPr="00400984">
        <w:rPr>
          <w:szCs w:val="24"/>
        </w:rPr>
        <w:t xml:space="preserve"> accessible to </w:t>
      </w:r>
      <w:r w:rsidR="000C4590">
        <w:rPr>
          <w:szCs w:val="24"/>
        </w:rPr>
        <w:t>blind shoppers</w:t>
      </w:r>
      <w:r w:rsidR="002701E8" w:rsidRPr="00400984">
        <w:rPr>
          <w:szCs w:val="24"/>
        </w:rPr>
        <w:t xml:space="preserve">. </w:t>
      </w:r>
      <w:r w:rsidR="009149AA" w:rsidRPr="00400984">
        <w:rPr>
          <w:i/>
          <w:iCs/>
          <w:szCs w:val="24"/>
        </w:rPr>
        <w:t>I</w:t>
      </w:r>
      <w:r w:rsidR="002701E8" w:rsidRPr="00400984">
        <w:rPr>
          <w:i/>
          <w:iCs/>
          <w:szCs w:val="24"/>
        </w:rPr>
        <w:t>d</w:t>
      </w:r>
      <w:r w:rsidR="002701E8" w:rsidRPr="00400984">
        <w:rPr>
          <w:szCs w:val="24"/>
        </w:rPr>
        <w:t xml:space="preserve">.; </w:t>
      </w:r>
      <w:r w:rsidR="002701E8" w:rsidRPr="00400984">
        <w:rPr>
          <w:i/>
          <w:iCs/>
          <w:szCs w:val="24"/>
        </w:rPr>
        <w:t>see also Stewart</w:t>
      </w:r>
      <w:r w:rsidR="002701E8" w:rsidRPr="00400984">
        <w:rPr>
          <w:szCs w:val="24"/>
        </w:rPr>
        <w:t>, 275 F.3d at 22</w:t>
      </w:r>
      <w:r w:rsidR="009149AA" w:rsidRPr="00400984">
        <w:rPr>
          <w:szCs w:val="24"/>
        </w:rPr>
        <w:t>7-2</w:t>
      </w:r>
      <w:r w:rsidR="002701E8" w:rsidRPr="00400984">
        <w:rPr>
          <w:szCs w:val="24"/>
        </w:rPr>
        <w:t xml:space="preserve">8. Because the claims in this case are “framed as a violative practice” and seek to remedy injuries linked to this practice, they “occupy the same position of centrality for all class members.” </w:t>
      </w:r>
      <w:r w:rsidR="002701E8" w:rsidRPr="00400984">
        <w:rPr>
          <w:i/>
          <w:iCs/>
          <w:szCs w:val="24"/>
        </w:rPr>
        <w:t>Baby Neal</w:t>
      </w:r>
      <w:r w:rsidR="002701E8" w:rsidRPr="00400984">
        <w:rPr>
          <w:szCs w:val="24"/>
        </w:rPr>
        <w:t xml:space="preserve">, 43 F.3d at 63. The typicality requirement is </w:t>
      </w:r>
      <w:r w:rsidR="00AF57E8" w:rsidRPr="00400984">
        <w:rPr>
          <w:szCs w:val="24"/>
        </w:rPr>
        <w:t>met</w:t>
      </w:r>
      <w:r w:rsidR="002701E8" w:rsidRPr="00400984">
        <w:rPr>
          <w:szCs w:val="24"/>
        </w:rPr>
        <w:t>.</w:t>
      </w:r>
    </w:p>
    <w:p w14:paraId="7189E52B" w14:textId="3A16468F" w:rsidR="00DB7370" w:rsidRPr="00404986" w:rsidRDefault="00DB7370" w:rsidP="006C7448">
      <w:pPr>
        <w:widowControl w:val="0"/>
        <w:spacing w:line="480" w:lineRule="auto"/>
        <w:ind w:firstLine="720"/>
        <w:jc w:val="both"/>
        <w:rPr>
          <w:szCs w:val="24"/>
        </w:rPr>
      </w:pPr>
      <w:r w:rsidRPr="005C58B4">
        <w:rPr>
          <w:szCs w:val="24"/>
        </w:rPr>
        <w:t xml:space="preserve">Courts found </w:t>
      </w:r>
      <w:r w:rsidR="00803FE4" w:rsidRPr="005C58B4">
        <w:rPr>
          <w:szCs w:val="24"/>
        </w:rPr>
        <w:t xml:space="preserve">that </w:t>
      </w:r>
      <w:r w:rsidRPr="005C58B4">
        <w:rPr>
          <w:szCs w:val="24"/>
        </w:rPr>
        <w:t xml:space="preserve">identical classes </w:t>
      </w:r>
      <w:r w:rsidR="00F03BF5" w:rsidRPr="005C58B4">
        <w:rPr>
          <w:szCs w:val="24"/>
        </w:rPr>
        <w:t>satisfied</w:t>
      </w:r>
      <w:r w:rsidRPr="005C58B4">
        <w:rPr>
          <w:szCs w:val="24"/>
        </w:rPr>
        <w:t xml:space="preserve"> typicality in </w:t>
      </w:r>
      <w:r w:rsidRPr="005C58B4">
        <w:rPr>
          <w:i/>
          <w:iCs/>
          <w:szCs w:val="24"/>
        </w:rPr>
        <w:t xml:space="preserve">Eyebobs </w:t>
      </w:r>
      <w:r w:rsidRPr="005C58B4">
        <w:rPr>
          <w:szCs w:val="24"/>
        </w:rPr>
        <w:t xml:space="preserve">(Doc. 36 at </w:t>
      </w:r>
      <w:r w:rsidR="00E52BC8" w:rsidRPr="005C58B4">
        <w:rPr>
          <w:szCs w:val="24"/>
        </w:rPr>
        <w:t>p</w:t>
      </w:r>
      <w:r w:rsidRPr="005C58B4">
        <w:rPr>
          <w:szCs w:val="24"/>
        </w:rPr>
        <w:t>p. 5</w:t>
      </w:r>
      <w:r w:rsidR="00E52BC8" w:rsidRPr="005C58B4">
        <w:rPr>
          <w:szCs w:val="24"/>
        </w:rPr>
        <w:t>-6</w:t>
      </w:r>
      <w:r w:rsidRPr="005C58B4">
        <w:rPr>
          <w:szCs w:val="24"/>
        </w:rPr>
        <w:t>)</w:t>
      </w:r>
      <w:r w:rsidR="00DA3F8B" w:rsidRPr="005C58B4">
        <w:rPr>
          <w:szCs w:val="24"/>
        </w:rPr>
        <w:t>,</w:t>
      </w:r>
      <w:r w:rsidRPr="005C58B4">
        <w:rPr>
          <w:szCs w:val="24"/>
        </w:rPr>
        <w:t xml:space="preserve"> </w:t>
      </w:r>
      <w:r w:rsidRPr="005C58B4">
        <w:rPr>
          <w:i/>
          <w:iCs/>
          <w:szCs w:val="24"/>
        </w:rPr>
        <w:t>Charles Tyrwhitt</w:t>
      </w:r>
      <w:r w:rsidRPr="005C58B4">
        <w:rPr>
          <w:szCs w:val="24"/>
        </w:rPr>
        <w:t xml:space="preserve"> (Doc. 30 at p. 5),</w:t>
      </w:r>
      <w:r w:rsidR="005C58B4" w:rsidRPr="005C58B4">
        <w:rPr>
          <w:i/>
          <w:iCs/>
          <w:szCs w:val="24"/>
        </w:rPr>
        <w:t xml:space="preserve"> The Hundreds</w:t>
      </w:r>
      <w:r w:rsidR="005C58B4" w:rsidRPr="005C58B4">
        <w:rPr>
          <w:szCs w:val="24"/>
        </w:rPr>
        <w:t xml:space="preserve"> (Doc. 24 at p. 6),</w:t>
      </w:r>
      <w:r w:rsidRPr="005C58B4">
        <w:rPr>
          <w:szCs w:val="24"/>
        </w:rPr>
        <w:t xml:space="preserve"> </w:t>
      </w:r>
      <w:r w:rsidRPr="005C58B4">
        <w:rPr>
          <w:i/>
          <w:iCs/>
          <w:szCs w:val="24"/>
        </w:rPr>
        <w:t>Optavia</w:t>
      </w:r>
      <w:r w:rsidRPr="005C58B4">
        <w:rPr>
          <w:szCs w:val="24"/>
        </w:rPr>
        <w:t xml:space="preserve"> (Doc. 17 at p. 7)</w:t>
      </w:r>
      <w:r w:rsidR="003C7793" w:rsidRPr="005C58B4">
        <w:rPr>
          <w:szCs w:val="24"/>
        </w:rPr>
        <w:t>,</w:t>
      </w:r>
      <w:r w:rsidRPr="005C58B4">
        <w:rPr>
          <w:szCs w:val="24"/>
        </w:rPr>
        <w:t xml:space="preserve"> and </w:t>
      </w:r>
      <w:r w:rsidRPr="005C58B4">
        <w:rPr>
          <w:i/>
          <w:iCs/>
          <w:szCs w:val="24"/>
        </w:rPr>
        <w:t>Poly-Wood</w:t>
      </w:r>
      <w:r w:rsidRPr="005C58B4">
        <w:rPr>
          <w:szCs w:val="24"/>
        </w:rPr>
        <w:t xml:space="preserve"> (Doc </w:t>
      </w:r>
      <w:r w:rsidR="00E140EF">
        <w:rPr>
          <w:szCs w:val="24"/>
        </w:rPr>
        <w:t>45</w:t>
      </w:r>
      <w:r w:rsidRPr="005C58B4">
        <w:rPr>
          <w:szCs w:val="24"/>
        </w:rPr>
        <w:t xml:space="preserve"> at p. 2). This Court should too.</w:t>
      </w:r>
    </w:p>
    <w:p w14:paraId="5F29794B" w14:textId="77777777" w:rsidR="002701E8" w:rsidRPr="00404986" w:rsidRDefault="002701E8" w:rsidP="006C7448">
      <w:pPr>
        <w:pStyle w:val="ListParagraph"/>
        <w:keepNext/>
        <w:widowControl w:val="0"/>
        <w:numPr>
          <w:ilvl w:val="2"/>
          <w:numId w:val="4"/>
        </w:numPr>
        <w:spacing w:after="240"/>
        <w:ind w:left="2880" w:right="720" w:hanging="720"/>
        <w:contextualSpacing w:val="0"/>
        <w:rPr>
          <w:b/>
          <w:bCs/>
          <w:szCs w:val="24"/>
        </w:rPr>
      </w:pPr>
      <w:r w:rsidRPr="00404986">
        <w:rPr>
          <w:b/>
          <w:bCs/>
          <w:szCs w:val="24"/>
        </w:rPr>
        <w:t>Adequacy</w:t>
      </w:r>
    </w:p>
    <w:p w14:paraId="551F1E11" w14:textId="282FA44F" w:rsidR="002701E8" w:rsidRPr="007A30C8" w:rsidRDefault="00455027" w:rsidP="006C7448">
      <w:pPr>
        <w:widowControl w:val="0"/>
        <w:spacing w:line="480" w:lineRule="auto"/>
        <w:ind w:firstLine="720"/>
        <w:jc w:val="both"/>
        <w:rPr>
          <w:szCs w:val="24"/>
        </w:rPr>
      </w:pPr>
      <w:r w:rsidRPr="007A30C8">
        <w:rPr>
          <w:szCs w:val="24"/>
        </w:rPr>
        <w:t xml:space="preserve">The Court must find </w:t>
      </w:r>
      <w:r w:rsidR="002701E8" w:rsidRPr="007A30C8">
        <w:rPr>
          <w:szCs w:val="24"/>
        </w:rPr>
        <w:t>“</w:t>
      </w:r>
      <w:r w:rsidRPr="007A30C8">
        <w:rPr>
          <w:szCs w:val="24"/>
        </w:rPr>
        <w:t xml:space="preserve">the representative parties will </w:t>
      </w:r>
      <w:r w:rsidR="002701E8" w:rsidRPr="007A30C8">
        <w:rPr>
          <w:szCs w:val="24"/>
        </w:rPr>
        <w:t xml:space="preserve">fairly and adequately protect the interests of the class.” Fed. R. Civ. P. 23(a)(4). This requirement is </w:t>
      </w:r>
      <w:r w:rsidRPr="007A30C8">
        <w:rPr>
          <w:szCs w:val="24"/>
        </w:rPr>
        <w:t>met</w:t>
      </w:r>
      <w:r w:rsidR="002701E8" w:rsidRPr="007A30C8">
        <w:rPr>
          <w:szCs w:val="24"/>
        </w:rPr>
        <w:t xml:space="preserve"> where the named plaintiff’s interests are not antagonistic to the class members’ interests, and counsel for the named plaintiff is experienced and qualified to conduct the litigation. </w:t>
      </w:r>
      <w:r w:rsidR="002701E8" w:rsidRPr="007A30C8">
        <w:rPr>
          <w:i/>
          <w:iCs/>
          <w:szCs w:val="24"/>
        </w:rPr>
        <w:t>Baby Neal</w:t>
      </w:r>
      <w:r w:rsidR="002701E8" w:rsidRPr="007A30C8">
        <w:rPr>
          <w:szCs w:val="24"/>
        </w:rPr>
        <w:t>, 43 F.3d at 55.</w:t>
      </w:r>
    </w:p>
    <w:p w14:paraId="6B8E8DE7" w14:textId="7FD6BCCA" w:rsidR="002701E8" w:rsidRPr="00662BD5" w:rsidRDefault="002701E8" w:rsidP="006C7448">
      <w:pPr>
        <w:widowControl w:val="0"/>
        <w:spacing w:line="480" w:lineRule="auto"/>
        <w:ind w:firstLine="720"/>
        <w:jc w:val="both"/>
        <w:rPr>
          <w:szCs w:val="24"/>
          <w:highlight w:val="yellow"/>
        </w:rPr>
      </w:pPr>
      <w:r w:rsidRPr="00424368">
        <w:rPr>
          <w:szCs w:val="24"/>
        </w:rPr>
        <w:t xml:space="preserve">First, Plaintiff will fairly and adequately protect the interests of the </w:t>
      </w:r>
      <w:r w:rsidR="006643F2" w:rsidRPr="00424368">
        <w:rPr>
          <w:szCs w:val="24"/>
        </w:rPr>
        <w:t>c</w:t>
      </w:r>
      <w:r w:rsidRPr="00424368">
        <w:rPr>
          <w:szCs w:val="24"/>
        </w:rPr>
        <w:t xml:space="preserve">lass. Plaintiff has no adverse or antagonistic interests to the </w:t>
      </w:r>
      <w:r w:rsidR="006643F2" w:rsidRPr="00424368">
        <w:rPr>
          <w:szCs w:val="24"/>
        </w:rPr>
        <w:t>c</w:t>
      </w:r>
      <w:r w:rsidRPr="00424368">
        <w:rPr>
          <w:szCs w:val="24"/>
        </w:rPr>
        <w:t>lass</w:t>
      </w:r>
      <w:r w:rsidR="00424368" w:rsidRPr="00424368">
        <w:rPr>
          <w:szCs w:val="24"/>
        </w:rPr>
        <w:t>.</w:t>
      </w:r>
      <w:r w:rsidRPr="00424368">
        <w:rPr>
          <w:szCs w:val="24"/>
        </w:rPr>
        <w:t xml:space="preserve"> Plaintiff and the Settlement Class Members share the same injuries and seek the same relief—access to Defendant’s online store</w:t>
      </w:r>
      <w:r w:rsidR="00424368" w:rsidRPr="00424368">
        <w:rPr>
          <w:szCs w:val="24"/>
        </w:rPr>
        <w:t>s</w:t>
      </w:r>
      <w:r w:rsidRPr="00424368">
        <w:rPr>
          <w:szCs w:val="24"/>
        </w:rPr>
        <w:t xml:space="preserve">. </w:t>
      </w:r>
      <w:proofErr w:type="spellStart"/>
      <w:r w:rsidRPr="00424368">
        <w:rPr>
          <w:i/>
          <w:iCs/>
          <w:szCs w:val="24"/>
        </w:rPr>
        <w:t>Metts</w:t>
      </w:r>
      <w:proofErr w:type="spellEnd"/>
      <w:r w:rsidRPr="00424368">
        <w:rPr>
          <w:i/>
          <w:iCs/>
          <w:szCs w:val="24"/>
        </w:rPr>
        <w:t xml:space="preserve"> v. </w:t>
      </w:r>
      <w:proofErr w:type="spellStart"/>
      <w:r w:rsidRPr="00424368">
        <w:rPr>
          <w:i/>
          <w:iCs/>
          <w:szCs w:val="24"/>
        </w:rPr>
        <w:t>Houstoun</w:t>
      </w:r>
      <w:proofErr w:type="spellEnd"/>
      <w:r w:rsidRPr="00424368">
        <w:rPr>
          <w:szCs w:val="24"/>
        </w:rPr>
        <w:t xml:space="preserve">, </w:t>
      </w:r>
      <w:r w:rsidRPr="00424368">
        <w:rPr>
          <w:szCs w:val="24"/>
        </w:rPr>
        <w:lastRenderedPageBreak/>
        <w:t xml:space="preserve">No. 97-cv-04123, 1997 U.S. Dist. LEXIS 16737, at *11 (E.D. Pa. Oct. 24, 1997) (quoting </w:t>
      </w:r>
      <w:proofErr w:type="spellStart"/>
      <w:r w:rsidRPr="00424368">
        <w:rPr>
          <w:i/>
          <w:iCs/>
          <w:szCs w:val="24"/>
        </w:rPr>
        <w:t>Hassine</w:t>
      </w:r>
      <w:proofErr w:type="spellEnd"/>
      <w:r w:rsidRPr="00424368">
        <w:rPr>
          <w:i/>
          <w:iCs/>
          <w:szCs w:val="24"/>
        </w:rPr>
        <w:t xml:space="preserve"> v. </w:t>
      </w:r>
      <w:proofErr w:type="spellStart"/>
      <w:r w:rsidRPr="00424368">
        <w:rPr>
          <w:i/>
          <w:iCs/>
          <w:szCs w:val="24"/>
        </w:rPr>
        <w:t>Jeffes</w:t>
      </w:r>
      <w:proofErr w:type="spellEnd"/>
      <w:r w:rsidRPr="00424368">
        <w:rPr>
          <w:szCs w:val="24"/>
        </w:rPr>
        <w:t>, 846 F.2d 169, 179 (3d Cir. 1988)) (“Because the plaintiffs seek the same injunctive relief as all members of the class, the court ‘can find no potential for conflict between the claims of the complainants and those of the class as a whole.’”).</w:t>
      </w:r>
    </w:p>
    <w:p w14:paraId="4D626C4A" w14:textId="1400B8DA" w:rsidR="00081112" w:rsidRPr="009C1E41" w:rsidRDefault="002701E8" w:rsidP="006C7448">
      <w:pPr>
        <w:widowControl w:val="0"/>
        <w:spacing w:line="480" w:lineRule="auto"/>
        <w:ind w:firstLine="720"/>
        <w:jc w:val="both"/>
        <w:rPr>
          <w:szCs w:val="24"/>
        </w:rPr>
      </w:pPr>
      <w:r w:rsidRPr="007D6838">
        <w:rPr>
          <w:szCs w:val="24"/>
        </w:rPr>
        <w:t xml:space="preserve">Second, Plaintiff retained experienced and competent counsel who fairly and adequately protected the interests of the class throughout the litigation and the negotiation of the Agreement. Counsel have </w:t>
      </w:r>
      <w:r w:rsidRPr="009C1E41">
        <w:rPr>
          <w:szCs w:val="24"/>
        </w:rPr>
        <w:t>experience litigating class actions, generally, and prosecuting Title III ADA claims, specifically.</w:t>
      </w:r>
      <w:r w:rsidR="007D6838" w:rsidRPr="009C1E41">
        <w:rPr>
          <w:rStyle w:val="FootnoteReference"/>
          <w:szCs w:val="24"/>
        </w:rPr>
        <w:footnoteReference w:id="5"/>
      </w:r>
      <w:r w:rsidR="00617713" w:rsidRPr="009C1E41">
        <w:rPr>
          <w:szCs w:val="24"/>
        </w:rPr>
        <w:t xml:space="preserve"> </w:t>
      </w:r>
      <w:r w:rsidR="00BB30F1" w:rsidRPr="009C1E41">
        <w:rPr>
          <w:szCs w:val="24"/>
        </w:rPr>
        <w:t>To this end, courts</w:t>
      </w:r>
      <w:r w:rsidR="00E93008" w:rsidRPr="009C1E41">
        <w:rPr>
          <w:szCs w:val="24"/>
        </w:rPr>
        <w:t xml:space="preserve"> </w:t>
      </w:r>
      <w:r w:rsidR="00880D9E" w:rsidRPr="009C1E41">
        <w:rPr>
          <w:szCs w:val="24"/>
        </w:rPr>
        <w:t xml:space="preserve">have </w:t>
      </w:r>
      <w:r w:rsidR="00E93008" w:rsidRPr="009C1E41">
        <w:rPr>
          <w:szCs w:val="24"/>
        </w:rPr>
        <w:t xml:space="preserve">found </w:t>
      </w:r>
      <w:r w:rsidR="00BB30F1" w:rsidRPr="009C1E41">
        <w:rPr>
          <w:szCs w:val="24"/>
        </w:rPr>
        <w:t xml:space="preserve">that </w:t>
      </w:r>
      <w:r w:rsidR="00E93008" w:rsidRPr="009C1E41">
        <w:rPr>
          <w:szCs w:val="24"/>
        </w:rPr>
        <w:t>attorneys Tucker</w:t>
      </w:r>
      <w:r w:rsidR="00E140EF">
        <w:rPr>
          <w:szCs w:val="24"/>
        </w:rPr>
        <w:t xml:space="preserve">, </w:t>
      </w:r>
      <w:r w:rsidR="00E93008" w:rsidRPr="009C1E41">
        <w:rPr>
          <w:szCs w:val="24"/>
        </w:rPr>
        <w:t>Abramowicz</w:t>
      </w:r>
      <w:r w:rsidR="00E140EF">
        <w:rPr>
          <w:szCs w:val="24"/>
        </w:rPr>
        <w:t>, Steiger, and Moore</w:t>
      </w:r>
      <w:r w:rsidR="00750523" w:rsidRPr="009C1E41">
        <w:rPr>
          <w:szCs w:val="24"/>
        </w:rPr>
        <w:t xml:space="preserve"> </w:t>
      </w:r>
      <w:r w:rsidR="00E93008" w:rsidRPr="009C1E41">
        <w:rPr>
          <w:szCs w:val="24"/>
        </w:rPr>
        <w:t>adequately represented similar classes</w:t>
      </w:r>
      <w:r w:rsidR="00750523" w:rsidRPr="009C1E41">
        <w:rPr>
          <w:szCs w:val="24"/>
        </w:rPr>
        <w:t xml:space="preserve"> in</w:t>
      </w:r>
      <w:r w:rsidR="00E93008" w:rsidRPr="009C1E41">
        <w:rPr>
          <w:szCs w:val="24"/>
        </w:rPr>
        <w:t xml:space="preserve"> </w:t>
      </w:r>
      <w:r w:rsidR="00E93008" w:rsidRPr="009C1E41">
        <w:rPr>
          <w:i/>
          <w:iCs/>
          <w:szCs w:val="24"/>
        </w:rPr>
        <w:t>Eyebobs</w:t>
      </w:r>
      <w:r w:rsidR="00E93008" w:rsidRPr="009C1E41">
        <w:rPr>
          <w:szCs w:val="24"/>
        </w:rPr>
        <w:t xml:space="preserve"> (Doc. 49 at p. 3</w:t>
      </w:r>
      <w:r w:rsidR="00E140EF">
        <w:rPr>
          <w:szCs w:val="24"/>
        </w:rPr>
        <w:t xml:space="preserve"> </w:t>
      </w:r>
      <w:r w:rsidR="00E140EF" w:rsidRPr="00FF376B">
        <w:rPr>
          <w:szCs w:val="24"/>
        </w:rPr>
        <w:t>(Tucker</w:t>
      </w:r>
      <w:r w:rsidR="00E140EF">
        <w:rPr>
          <w:szCs w:val="24"/>
        </w:rPr>
        <w:t xml:space="preserve"> and </w:t>
      </w:r>
      <w:r w:rsidR="00E140EF" w:rsidRPr="00FF376B">
        <w:rPr>
          <w:szCs w:val="24"/>
        </w:rPr>
        <w:t>Abramowicz</w:t>
      </w:r>
      <w:r w:rsidR="00E140EF">
        <w:rPr>
          <w:szCs w:val="24"/>
        </w:rPr>
        <w:t>))</w:t>
      </w:r>
      <w:r w:rsidR="00CC2FBD" w:rsidRPr="009C1E41">
        <w:rPr>
          <w:szCs w:val="24"/>
        </w:rPr>
        <w:t xml:space="preserve">, </w:t>
      </w:r>
      <w:r w:rsidR="00E93008" w:rsidRPr="009C1E41">
        <w:rPr>
          <w:i/>
          <w:iCs/>
          <w:szCs w:val="24"/>
        </w:rPr>
        <w:t xml:space="preserve">Charles Tyrwhitt </w:t>
      </w:r>
      <w:r w:rsidR="00E93008" w:rsidRPr="009C1E41">
        <w:rPr>
          <w:szCs w:val="24"/>
        </w:rPr>
        <w:t>(Doc. 47 at p. 3</w:t>
      </w:r>
      <w:r w:rsidR="00E140EF">
        <w:rPr>
          <w:szCs w:val="24"/>
        </w:rPr>
        <w:t xml:space="preserve"> </w:t>
      </w:r>
      <w:r w:rsidR="00E140EF" w:rsidRPr="00FF376B">
        <w:rPr>
          <w:szCs w:val="24"/>
        </w:rPr>
        <w:t>(Tucker</w:t>
      </w:r>
      <w:r w:rsidR="00E140EF">
        <w:rPr>
          <w:szCs w:val="24"/>
        </w:rPr>
        <w:t xml:space="preserve"> and</w:t>
      </w:r>
      <w:r w:rsidR="00E140EF" w:rsidRPr="00FF376B">
        <w:rPr>
          <w:szCs w:val="24"/>
        </w:rPr>
        <w:t xml:space="preserve"> Abramowicz</w:t>
      </w:r>
      <w:r w:rsidR="00E140EF">
        <w:rPr>
          <w:szCs w:val="24"/>
        </w:rPr>
        <w:t>))</w:t>
      </w:r>
      <w:r w:rsidR="00E93008" w:rsidRPr="004E5347">
        <w:rPr>
          <w:szCs w:val="24"/>
        </w:rPr>
        <w:t>,</w:t>
      </w:r>
      <w:r w:rsidR="002806E9" w:rsidRPr="004E5347">
        <w:rPr>
          <w:i/>
          <w:iCs/>
          <w:szCs w:val="24"/>
        </w:rPr>
        <w:t xml:space="preserve"> The Hundreds</w:t>
      </w:r>
      <w:r w:rsidR="002806E9" w:rsidRPr="004E5347">
        <w:rPr>
          <w:szCs w:val="24"/>
        </w:rPr>
        <w:t xml:space="preserve"> (Doc. 24 at pp. </w:t>
      </w:r>
      <w:r w:rsidR="004E5347" w:rsidRPr="004E5347">
        <w:rPr>
          <w:szCs w:val="24"/>
        </w:rPr>
        <w:t>6</w:t>
      </w:r>
      <w:r w:rsidR="002806E9" w:rsidRPr="004E5347">
        <w:rPr>
          <w:szCs w:val="24"/>
        </w:rPr>
        <w:t>-</w:t>
      </w:r>
      <w:r w:rsidR="004E5347" w:rsidRPr="004E5347">
        <w:rPr>
          <w:szCs w:val="24"/>
        </w:rPr>
        <w:t>8</w:t>
      </w:r>
      <w:r w:rsidR="00E140EF">
        <w:rPr>
          <w:szCs w:val="24"/>
        </w:rPr>
        <w:t xml:space="preserve"> (Tucker, Abramowic</w:t>
      </w:r>
      <w:r w:rsidR="000C4590">
        <w:rPr>
          <w:szCs w:val="24"/>
        </w:rPr>
        <w:t>z</w:t>
      </w:r>
      <w:r w:rsidR="00E140EF">
        <w:rPr>
          <w:szCs w:val="24"/>
        </w:rPr>
        <w:t>, Steiger, and Moore))</w:t>
      </w:r>
      <w:r w:rsidR="002806E9" w:rsidRPr="004E5347">
        <w:rPr>
          <w:szCs w:val="24"/>
        </w:rPr>
        <w:t>,</w:t>
      </w:r>
      <w:r w:rsidR="00E93008" w:rsidRPr="004E5347">
        <w:rPr>
          <w:szCs w:val="24"/>
        </w:rPr>
        <w:t xml:space="preserve"> </w:t>
      </w:r>
      <w:r w:rsidR="00E93008" w:rsidRPr="004E5347">
        <w:rPr>
          <w:i/>
          <w:iCs/>
          <w:szCs w:val="24"/>
        </w:rPr>
        <w:t>Optavia</w:t>
      </w:r>
      <w:r w:rsidR="00E93008" w:rsidRPr="009C1E41">
        <w:rPr>
          <w:i/>
          <w:iCs/>
          <w:szCs w:val="24"/>
        </w:rPr>
        <w:t xml:space="preserve"> </w:t>
      </w:r>
      <w:r w:rsidR="00E93008" w:rsidRPr="009C1E41">
        <w:rPr>
          <w:szCs w:val="24"/>
        </w:rPr>
        <w:t>(Doc. 17 at pp. 7-8</w:t>
      </w:r>
      <w:r w:rsidR="00E140EF">
        <w:rPr>
          <w:szCs w:val="24"/>
        </w:rPr>
        <w:t xml:space="preserve"> (Tucker and Abramowicz))</w:t>
      </w:r>
      <w:r w:rsidR="009555D5" w:rsidRPr="009C1E41">
        <w:rPr>
          <w:szCs w:val="24"/>
        </w:rPr>
        <w:t>,</w:t>
      </w:r>
      <w:r w:rsidR="00E93008" w:rsidRPr="009C1E41">
        <w:rPr>
          <w:szCs w:val="24"/>
        </w:rPr>
        <w:t xml:space="preserve"> and </w:t>
      </w:r>
      <w:r w:rsidR="00E93008" w:rsidRPr="009C1E41">
        <w:rPr>
          <w:i/>
          <w:iCs/>
          <w:szCs w:val="24"/>
        </w:rPr>
        <w:t>Poly-Wood</w:t>
      </w:r>
      <w:r w:rsidR="00E93008" w:rsidRPr="009C1E41">
        <w:rPr>
          <w:szCs w:val="24"/>
        </w:rPr>
        <w:t xml:space="preserve"> (Doc. </w:t>
      </w:r>
      <w:r w:rsidR="00E140EF">
        <w:rPr>
          <w:szCs w:val="24"/>
        </w:rPr>
        <w:t>45</w:t>
      </w:r>
      <w:r w:rsidR="00E93008" w:rsidRPr="009C1E41">
        <w:rPr>
          <w:szCs w:val="24"/>
        </w:rPr>
        <w:t xml:space="preserve"> at p. 2</w:t>
      </w:r>
      <w:r w:rsidR="00E140EF">
        <w:rPr>
          <w:szCs w:val="24"/>
        </w:rPr>
        <w:t xml:space="preserve"> (Tucker and Abramowicz))</w:t>
      </w:r>
      <w:r w:rsidR="00E93008" w:rsidRPr="009C1E41">
        <w:rPr>
          <w:szCs w:val="24"/>
        </w:rPr>
        <w:t>.</w:t>
      </w:r>
    </w:p>
    <w:p w14:paraId="56E6D8B1" w14:textId="18C0C255" w:rsidR="002701E8" w:rsidRPr="00F902D2" w:rsidRDefault="008005AC" w:rsidP="006C7448">
      <w:pPr>
        <w:widowControl w:val="0"/>
        <w:spacing w:line="480" w:lineRule="auto"/>
        <w:ind w:firstLine="720"/>
        <w:jc w:val="both"/>
        <w:rPr>
          <w:szCs w:val="24"/>
        </w:rPr>
      </w:pPr>
      <w:r w:rsidRPr="00D331E6">
        <w:rPr>
          <w:szCs w:val="24"/>
        </w:rPr>
        <w:t>Accor</w:t>
      </w:r>
      <w:r w:rsidRPr="00F902D2">
        <w:rPr>
          <w:szCs w:val="24"/>
        </w:rPr>
        <w:t>dingly, t</w:t>
      </w:r>
      <w:r w:rsidR="00081112" w:rsidRPr="00F902D2">
        <w:rPr>
          <w:szCs w:val="24"/>
        </w:rPr>
        <w:t>he adequacy requirement is satisfied here. Plaintiff will protect the interests of the class, and Plaintiff’s counsel are experienced litigators who are well-versed in class litigation and the law of disability discrimination.</w:t>
      </w:r>
    </w:p>
    <w:p w14:paraId="24CD06EB" w14:textId="72991A52" w:rsidR="002701E8" w:rsidRPr="00F902D2" w:rsidRDefault="002701E8" w:rsidP="006C7448">
      <w:pPr>
        <w:pStyle w:val="ListParagraph"/>
        <w:keepNext/>
        <w:widowControl w:val="0"/>
        <w:numPr>
          <w:ilvl w:val="1"/>
          <w:numId w:val="4"/>
        </w:numPr>
        <w:spacing w:after="240"/>
        <w:ind w:right="720" w:hanging="720"/>
        <w:contextualSpacing w:val="0"/>
        <w:rPr>
          <w:b/>
          <w:bCs/>
          <w:szCs w:val="24"/>
        </w:rPr>
      </w:pPr>
      <w:r w:rsidRPr="00F902D2">
        <w:rPr>
          <w:b/>
          <w:bCs/>
          <w:szCs w:val="24"/>
        </w:rPr>
        <w:t xml:space="preserve">Plaintiff Satisfies </w:t>
      </w:r>
      <w:r w:rsidR="0038007D" w:rsidRPr="00F902D2">
        <w:rPr>
          <w:b/>
          <w:bCs/>
          <w:szCs w:val="24"/>
        </w:rPr>
        <w:t xml:space="preserve">The </w:t>
      </w:r>
      <w:r w:rsidRPr="00F902D2">
        <w:rPr>
          <w:b/>
          <w:bCs/>
          <w:szCs w:val="24"/>
        </w:rPr>
        <w:t xml:space="preserve">Requirements </w:t>
      </w:r>
      <w:r w:rsidR="0038007D" w:rsidRPr="00F902D2">
        <w:rPr>
          <w:b/>
          <w:bCs/>
          <w:szCs w:val="24"/>
        </w:rPr>
        <w:t xml:space="preserve">Of </w:t>
      </w:r>
      <w:r w:rsidRPr="00F902D2">
        <w:rPr>
          <w:b/>
          <w:bCs/>
          <w:szCs w:val="24"/>
        </w:rPr>
        <w:t xml:space="preserve">Rule </w:t>
      </w:r>
      <w:r w:rsidR="0038007D" w:rsidRPr="00F902D2">
        <w:rPr>
          <w:b/>
          <w:bCs/>
          <w:szCs w:val="24"/>
        </w:rPr>
        <w:t>23(</w:t>
      </w:r>
      <w:r w:rsidR="0093669C" w:rsidRPr="00F902D2">
        <w:rPr>
          <w:b/>
          <w:bCs/>
          <w:szCs w:val="24"/>
        </w:rPr>
        <w:t>b</w:t>
      </w:r>
      <w:r w:rsidR="0038007D" w:rsidRPr="00F902D2">
        <w:rPr>
          <w:b/>
          <w:bCs/>
          <w:szCs w:val="24"/>
        </w:rPr>
        <w:t>)(2)</w:t>
      </w:r>
    </w:p>
    <w:p w14:paraId="688F3B9D" w14:textId="1A71DC88" w:rsidR="002701E8" w:rsidRPr="00F902D2" w:rsidRDefault="002701E8" w:rsidP="006C7448">
      <w:pPr>
        <w:widowControl w:val="0"/>
        <w:spacing w:line="480" w:lineRule="auto"/>
        <w:ind w:firstLine="720"/>
        <w:jc w:val="both"/>
        <w:rPr>
          <w:szCs w:val="24"/>
        </w:rPr>
      </w:pPr>
      <w:r w:rsidRPr="00F902D2">
        <w:rPr>
          <w:szCs w:val="24"/>
        </w:rPr>
        <w:t>Plaintiff</w:t>
      </w:r>
      <w:r w:rsidR="001D3B7E" w:rsidRPr="00F902D2">
        <w:rPr>
          <w:szCs w:val="24"/>
        </w:rPr>
        <w:t xml:space="preserve"> asserts</w:t>
      </w:r>
      <w:r w:rsidRPr="00F902D2">
        <w:rPr>
          <w:szCs w:val="24"/>
        </w:rPr>
        <w:t xml:space="preserve"> claims for injunctive relief under </w:t>
      </w:r>
      <w:r w:rsidR="001D3B7E" w:rsidRPr="00F902D2">
        <w:rPr>
          <w:szCs w:val="24"/>
        </w:rPr>
        <w:t>Rule</w:t>
      </w:r>
      <w:r w:rsidRPr="00F902D2">
        <w:rPr>
          <w:szCs w:val="24"/>
        </w:rPr>
        <w:t xml:space="preserve"> 23(b)(2). A class may be certified under Rule 23(b)(2) if the prerequisites of Rule 23(a) are </w:t>
      </w:r>
      <w:r w:rsidR="00EB239D" w:rsidRPr="00F902D2">
        <w:rPr>
          <w:szCs w:val="24"/>
        </w:rPr>
        <w:t>met</w:t>
      </w:r>
      <w:r w:rsidRPr="00F902D2">
        <w:rPr>
          <w:szCs w:val="24"/>
        </w:rPr>
        <w:t xml:space="preserve"> and “the party opposing the class has acted or refused to act on grounds that apply generally to the class, so that final injunctive relief or corresponding declaratory relief is appropriate respecting the class as a whole.” Fed. R. Civ. P. 23(b)(2). Because </w:t>
      </w:r>
      <w:r w:rsidR="00482F12" w:rsidRPr="00F902D2">
        <w:rPr>
          <w:szCs w:val="24"/>
        </w:rPr>
        <w:t xml:space="preserve">the </w:t>
      </w:r>
      <w:r w:rsidRPr="00F902D2">
        <w:rPr>
          <w:szCs w:val="24"/>
        </w:rPr>
        <w:t xml:space="preserve">relief sought in a Rule 23(b)(2) class action is </w:t>
      </w:r>
      <w:r w:rsidR="00B74E3A" w:rsidRPr="00F902D2">
        <w:rPr>
          <w:szCs w:val="24"/>
        </w:rPr>
        <w:t>“</w:t>
      </w:r>
      <w:r w:rsidRPr="00F902D2">
        <w:rPr>
          <w:szCs w:val="24"/>
        </w:rPr>
        <w:t>cohesive in nature,</w:t>
      </w:r>
      <w:r w:rsidR="00B74E3A" w:rsidRPr="00F902D2">
        <w:rPr>
          <w:szCs w:val="24"/>
        </w:rPr>
        <w:t>”</w:t>
      </w:r>
      <w:r w:rsidRPr="00F902D2">
        <w:rPr>
          <w:szCs w:val="24"/>
        </w:rPr>
        <w:t xml:space="preserve"> a </w:t>
      </w:r>
      <w:r w:rsidR="00B74E3A" w:rsidRPr="00F902D2">
        <w:rPr>
          <w:szCs w:val="24"/>
        </w:rPr>
        <w:t>named plaintiff</w:t>
      </w:r>
      <w:r w:rsidRPr="00F902D2">
        <w:rPr>
          <w:szCs w:val="24"/>
        </w:rPr>
        <w:t xml:space="preserve"> </w:t>
      </w:r>
      <w:r w:rsidR="00B74E3A" w:rsidRPr="00F902D2">
        <w:rPr>
          <w:szCs w:val="24"/>
        </w:rPr>
        <w:t>“</w:t>
      </w:r>
      <w:r w:rsidRPr="00F902D2">
        <w:rPr>
          <w:szCs w:val="24"/>
        </w:rPr>
        <w:t>can, as a matter of due process, bind all absent class members by a judgment.</w:t>
      </w:r>
      <w:r w:rsidR="00B74E3A" w:rsidRPr="00F902D2">
        <w:rPr>
          <w:szCs w:val="24"/>
        </w:rPr>
        <w:t>”</w:t>
      </w:r>
      <w:r w:rsidRPr="00F902D2">
        <w:rPr>
          <w:szCs w:val="24"/>
        </w:rPr>
        <w:t xml:space="preserve"> </w:t>
      </w:r>
      <w:r w:rsidRPr="00F902D2">
        <w:rPr>
          <w:i/>
          <w:iCs/>
          <w:szCs w:val="24"/>
        </w:rPr>
        <w:lastRenderedPageBreak/>
        <w:t>Walsh v. Great Atl. &amp; Pac. Tea Co</w:t>
      </w:r>
      <w:r w:rsidRPr="00F902D2">
        <w:rPr>
          <w:szCs w:val="24"/>
        </w:rPr>
        <w:t>., 726 F.2d 956, 963 (3d Cir</w:t>
      </w:r>
      <w:r w:rsidR="005872D9" w:rsidRPr="00F902D2">
        <w:rPr>
          <w:szCs w:val="24"/>
        </w:rPr>
        <w:t>.</w:t>
      </w:r>
      <w:r w:rsidRPr="00F902D2">
        <w:rPr>
          <w:szCs w:val="24"/>
        </w:rPr>
        <w:t xml:space="preserve"> 1983). </w:t>
      </w:r>
      <w:r w:rsidR="007144B5" w:rsidRPr="00F902D2">
        <w:rPr>
          <w:szCs w:val="24"/>
        </w:rPr>
        <w:t>Rule 23(b)(2) c</w:t>
      </w:r>
      <w:r w:rsidRPr="00F902D2">
        <w:rPr>
          <w:szCs w:val="24"/>
        </w:rPr>
        <w:t xml:space="preserve">lass </w:t>
      </w:r>
      <w:r w:rsidR="007144B5" w:rsidRPr="00F902D2">
        <w:rPr>
          <w:szCs w:val="24"/>
        </w:rPr>
        <w:t>actions</w:t>
      </w:r>
      <w:r w:rsidRPr="00F902D2">
        <w:rPr>
          <w:szCs w:val="24"/>
        </w:rPr>
        <w:t xml:space="preserve"> “frequently </w:t>
      </w:r>
      <w:r w:rsidR="007241D5" w:rsidRPr="00F902D2">
        <w:rPr>
          <w:szCs w:val="24"/>
        </w:rPr>
        <w:t>[</w:t>
      </w:r>
      <w:r w:rsidRPr="00F902D2">
        <w:rPr>
          <w:szCs w:val="24"/>
        </w:rPr>
        <w:t>serve</w:t>
      </w:r>
      <w:r w:rsidR="007241D5" w:rsidRPr="00F902D2">
        <w:rPr>
          <w:szCs w:val="24"/>
        </w:rPr>
        <w:t>]</w:t>
      </w:r>
      <w:r w:rsidRPr="00F902D2">
        <w:rPr>
          <w:szCs w:val="24"/>
        </w:rPr>
        <w:t xml:space="preserve"> as the vehicle for civil rights actions and other institutional reform cases</w:t>
      </w:r>
      <w:r w:rsidR="007241D5" w:rsidRPr="00F902D2">
        <w:rPr>
          <w:szCs w:val="24"/>
        </w:rPr>
        <w:t>[</w:t>
      </w:r>
      <w:r w:rsidRPr="00F902D2">
        <w:rPr>
          <w:szCs w:val="24"/>
        </w:rPr>
        <w:t>.</w:t>
      </w:r>
      <w:r w:rsidR="007241D5" w:rsidRPr="00F902D2">
        <w:rPr>
          <w:szCs w:val="24"/>
        </w:rPr>
        <w:t>]</w:t>
      </w:r>
      <w:r w:rsidRPr="00F902D2">
        <w:rPr>
          <w:szCs w:val="24"/>
        </w:rPr>
        <w:t xml:space="preserve">” </w:t>
      </w:r>
      <w:r w:rsidR="007241D5" w:rsidRPr="00F902D2">
        <w:rPr>
          <w:i/>
          <w:iCs/>
          <w:szCs w:val="24"/>
        </w:rPr>
        <w:t>Baby Neal</w:t>
      </w:r>
      <w:r w:rsidR="007241D5" w:rsidRPr="00F902D2">
        <w:rPr>
          <w:szCs w:val="24"/>
        </w:rPr>
        <w:t xml:space="preserve">, 43 F.3d at </w:t>
      </w:r>
      <w:r w:rsidR="0051470F" w:rsidRPr="00F902D2">
        <w:rPr>
          <w:szCs w:val="24"/>
        </w:rPr>
        <w:t>58-59</w:t>
      </w:r>
      <w:r w:rsidR="007241D5" w:rsidRPr="00F902D2">
        <w:rPr>
          <w:szCs w:val="24"/>
        </w:rPr>
        <w:t>.</w:t>
      </w:r>
      <w:r w:rsidR="0024708F" w:rsidRPr="00F902D2">
        <w:rPr>
          <w:szCs w:val="24"/>
        </w:rPr>
        <w:t xml:space="preserve"> Such is the case here.</w:t>
      </w:r>
    </w:p>
    <w:p w14:paraId="59EED27F" w14:textId="51317B40" w:rsidR="002701E8" w:rsidRPr="004473C4" w:rsidRDefault="00FC58DE" w:rsidP="006C7448">
      <w:pPr>
        <w:widowControl w:val="0"/>
        <w:spacing w:line="480" w:lineRule="auto"/>
        <w:ind w:firstLine="720"/>
        <w:jc w:val="both"/>
        <w:rPr>
          <w:szCs w:val="24"/>
        </w:rPr>
      </w:pPr>
      <w:r w:rsidRPr="00073466">
        <w:rPr>
          <w:szCs w:val="24"/>
        </w:rPr>
        <w:t>Certification under Rule 23(b)(2) is appropriate</w:t>
      </w:r>
      <w:r w:rsidR="002D684F">
        <w:rPr>
          <w:szCs w:val="24"/>
        </w:rPr>
        <w:t xml:space="preserve"> because t</w:t>
      </w:r>
      <w:r w:rsidR="002701E8" w:rsidRPr="00073466">
        <w:rPr>
          <w:szCs w:val="24"/>
        </w:rPr>
        <w:t xml:space="preserve">his case concerns a single, common contention: </w:t>
      </w:r>
      <w:r w:rsidR="00BE35D7" w:rsidRPr="00073466">
        <w:rPr>
          <w:szCs w:val="24"/>
        </w:rPr>
        <w:t xml:space="preserve">that </w:t>
      </w:r>
      <w:r w:rsidR="002701E8" w:rsidRPr="00073466">
        <w:rPr>
          <w:szCs w:val="24"/>
        </w:rPr>
        <w:t>Defendant failed to provide equal, effective, and full access to its online store</w:t>
      </w:r>
      <w:r w:rsidR="00073466" w:rsidRPr="00073466">
        <w:rPr>
          <w:szCs w:val="24"/>
        </w:rPr>
        <w:t>s</w:t>
      </w:r>
      <w:r w:rsidR="002701E8" w:rsidRPr="00073466">
        <w:rPr>
          <w:szCs w:val="24"/>
        </w:rPr>
        <w:t xml:space="preserve"> </w:t>
      </w:r>
      <w:r w:rsidR="00BE35D7" w:rsidRPr="00073466">
        <w:rPr>
          <w:szCs w:val="24"/>
        </w:rPr>
        <w:t>to</w:t>
      </w:r>
      <w:r w:rsidR="002701E8" w:rsidRPr="00073466">
        <w:rPr>
          <w:szCs w:val="24"/>
        </w:rPr>
        <w:t xml:space="preserve"> blind </w:t>
      </w:r>
      <w:r w:rsidR="002D684F">
        <w:rPr>
          <w:szCs w:val="24"/>
        </w:rPr>
        <w:t>shoppers</w:t>
      </w:r>
      <w:r w:rsidR="00BE35D7" w:rsidRPr="00073466">
        <w:rPr>
          <w:szCs w:val="24"/>
        </w:rPr>
        <w:t xml:space="preserve"> who</w:t>
      </w:r>
      <w:r w:rsidR="002701E8" w:rsidRPr="00073466">
        <w:rPr>
          <w:szCs w:val="24"/>
        </w:rPr>
        <w:t xml:space="preserve"> use screen reader </w:t>
      </w:r>
      <w:r w:rsidR="00DE76AE">
        <w:rPr>
          <w:szCs w:val="24"/>
        </w:rPr>
        <w:t>software</w:t>
      </w:r>
      <w:r w:rsidR="002701E8" w:rsidRPr="00073466">
        <w:rPr>
          <w:szCs w:val="24"/>
        </w:rPr>
        <w:t xml:space="preserve"> to access digital </w:t>
      </w:r>
      <w:r w:rsidR="00DE76AE">
        <w:rPr>
          <w:szCs w:val="24"/>
        </w:rPr>
        <w:t>content</w:t>
      </w:r>
      <w:r w:rsidR="002701E8" w:rsidRPr="00073466">
        <w:rPr>
          <w:szCs w:val="24"/>
        </w:rPr>
        <w:t xml:space="preserve">. By failing to develop and maintain </w:t>
      </w:r>
      <w:r w:rsidRPr="00073466">
        <w:rPr>
          <w:szCs w:val="24"/>
        </w:rPr>
        <w:t>online store</w:t>
      </w:r>
      <w:r w:rsidR="00073466" w:rsidRPr="00073466">
        <w:rPr>
          <w:szCs w:val="24"/>
        </w:rPr>
        <w:t>s</w:t>
      </w:r>
      <w:r w:rsidR="002701E8" w:rsidRPr="00073466">
        <w:rPr>
          <w:szCs w:val="24"/>
        </w:rPr>
        <w:t xml:space="preserve"> compatible with screen read</w:t>
      </w:r>
      <w:r w:rsidR="00073466" w:rsidRPr="00073466">
        <w:rPr>
          <w:szCs w:val="24"/>
        </w:rPr>
        <w:t>er</w:t>
      </w:r>
      <w:r w:rsidR="002701E8" w:rsidRPr="00073466">
        <w:rPr>
          <w:szCs w:val="24"/>
        </w:rPr>
        <w:t xml:space="preserve"> software, Defendant acted or refused to act on grounds generally applicable to the Settlement Class. The injunctive relief </w:t>
      </w:r>
      <w:r w:rsidR="0081322D" w:rsidRPr="00073466">
        <w:rPr>
          <w:szCs w:val="24"/>
        </w:rPr>
        <w:t xml:space="preserve">that </w:t>
      </w:r>
      <w:r w:rsidR="002701E8" w:rsidRPr="00073466">
        <w:rPr>
          <w:szCs w:val="24"/>
        </w:rPr>
        <w:t xml:space="preserve">Plaintiff seeks—Defendant’s agreement to modify its policies and practices </w:t>
      </w:r>
      <w:r w:rsidR="00A16D42" w:rsidRPr="00073466">
        <w:rPr>
          <w:szCs w:val="24"/>
        </w:rPr>
        <w:t>going forward</w:t>
      </w:r>
      <w:r w:rsidR="002701E8" w:rsidRPr="00073466">
        <w:rPr>
          <w:szCs w:val="24"/>
        </w:rPr>
        <w:t xml:space="preserve">—is sought to benefit, and will benefit, the </w:t>
      </w:r>
      <w:r w:rsidRPr="00073466">
        <w:rPr>
          <w:szCs w:val="24"/>
        </w:rPr>
        <w:t xml:space="preserve">Settlement Class as a whole. Moreover, courts have found </w:t>
      </w:r>
      <w:r w:rsidR="00170DA3" w:rsidRPr="00073466">
        <w:rPr>
          <w:szCs w:val="24"/>
        </w:rPr>
        <w:t xml:space="preserve">certification of similar classes </w:t>
      </w:r>
      <w:r w:rsidR="00086459" w:rsidRPr="00D54B2B">
        <w:rPr>
          <w:szCs w:val="24"/>
        </w:rPr>
        <w:t xml:space="preserve">to be appropriate </w:t>
      </w:r>
      <w:r w:rsidR="00170DA3" w:rsidRPr="00D54B2B">
        <w:rPr>
          <w:szCs w:val="24"/>
        </w:rPr>
        <w:t>under</w:t>
      </w:r>
      <w:r w:rsidRPr="00D54B2B">
        <w:rPr>
          <w:szCs w:val="24"/>
        </w:rPr>
        <w:t xml:space="preserve"> Rule 23(b)(2) in </w:t>
      </w:r>
      <w:r w:rsidRPr="00D54B2B">
        <w:rPr>
          <w:i/>
          <w:iCs/>
          <w:szCs w:val="24"/>
        </w:rPr>
        <w:t xml:space="preserve">Eyebobs </w:t>
      </w:r>
      <w:r w:rsidRPr="00D54B2B">
        <w:rPr>
          <w:szCs w:val="24"/>
        </w:rPr>
        <w:t>(Doc. 36 at pp. 7-9)</w:t>
      </w:r>
      <w:r w:rsidR="00D017D2" w:rsidRPr="00D54B2B">
        <w:rPr>
          <w:szCs w:val="24"/>
        </w:rPr>
        <w:t>,</w:t>
      </w:r>
      <w:r w:rsidRPr="00D54B2B">
        <w:rPr>
          <w:szCs w:val="24"/>
        </w:rPr>
        <w:t xml:space="preserve"> </w:t>
      </w:r>
      <w:r w:rsidRPr="00D54B2B">
        <w:rPr>
          <w:i/>
          <w:iCs/>
          <w:szCs w:val="24"/>
        </w:rPr>
        <w:t>Charles Tyrwhitt</w:t>
      </w:r>
      <w:r w:rsidRPr="00D54B2B">
        <w:rPr>
          <w:szCs w:val="24"/>
        </w:rPr>
        <w:t xml:space="preserve"> (Doc. 30 at pp. 7-8), </w:t>
      </w:r>
      <w:r w:rsidR="00DE76AE" w:rsidRPr="00D54B2B">
        <w:rPr>
          <w:i/>
          <w:iCs/>
          <w:szCs w:val="24"/>
        </w:rPr>
        <w:t>The Hundreds</w:t>
      </w:r>
      <w:r w:rsidR="00DE76AE" w:rsidRPr="00D54B2B">
        <w:rPr>
          <w:szCs w:val="24"/>
        </w:rPr>
        <w:t xml:space="preserve"> (Doc. 24 at pp. </w:t>
      </w:r>
      <w:r w:rsidR="00D54B2B" w:rsidRPr="00D54B2B">
        <w:rPr>
          <w:szCs w:val="24"/>
        </w:rPr>
        <w:t>8</w:t>
      </w:r>
      <w:r w:rsidR="00DE76AE" w:rsidRPr="00D54B2B">
        <w:rPr>
          <w:szCs w:val="24"/>
        </w:rPr>
        <w:t>-</w:t>
      </w:r>
      <w:r w:rsidR="00D54B2B" w:rsidRPr="00D54B2B">
        <w:rPr>
          <w:szCs w:val="24"/>
        </w:rPr>
        <w:t>10</w:t>
      </w:r>
      <w:r w:rsidR="00DE76AE" w:rsidRPr="00D54B2B">
        <w:rPr>
          <w:szCs w:val="24"/>
        </w:rPr>
        <w:t xml:space="preserve">), </w:t>
      </w:r>
      <w:r w:rsidRPr="00D54B2B">
        <w:rPr>
          <w:i/>
          <w:iCs/>
          <w:szCs w:val="24"/>
        </w:rPr>
        <w:t>Optavia</w:t>
      </w:r>
      <w:r w:rsidRPr="00D54B2B">
        <w:rPr>
          <w:szCs w:val="24"/>
        </w:rPr>
        <w:t xml:space="preserve"> (Doc. 17 at p. 8)</w:t>
      </w:r>
      <w:r w:rsidR="00F23297" w:rsidRPr="00D54B2B">
        <w:rPr>
          <w:szCs w:val="24"/>
        </w:rPr>
        <w:t>,</w:t>
      </w:r>
      <w:r w:rsidRPr="00D54B2B">
        <w:rPr>
          <w:szCs w:val="24"/>
        </w:rPr>
        <w:t xml:space="preserve"> and</w:t>
      </w:r>
      <w:r w:rsidRPr="00086459">
        <w:rPr>
          <w:szCs w:val="24"/>
        </w:rPr>
        <w:t xml:space="preserve"> </w:t>
      </w:r>
      <w:r w:rsidRPr="00086459">
        <w:rPr>
          <w:i/>
          <w:iCs/>
          <w:szCs w:val="24"/>
        </w:rPr>
        <w:t>Poly-Wood</w:t>
      </w:r>
      <w:r w:rsidRPr="00086459">
        <w:rPr>
          <w:szCs w:val="24"/>
        </w:rPr>
        <w:t xml:space="preserve"> (Doc</w:t>
      </w:r>
      <w:r w:rsidR="003A3F61" w:rsidRPr="00086459">
        <w:rPr>
          <w:szCs w:val="24"/>
        </w:rPr>
        <w:t>.</w:t>
      </w:r>
      <w:r w:rsidRPr="00086459">
        <w:rPr>
          <w:szCs w:val="24"/>
        </w:rPr>
        <w:t xml:space="preserve"> </w:t>
      </w:r>
      <w:r w:rsidR="00E140EF">
        <w:rPr>
          <w:szCs w:val="24"/>
        </w:rPr>
        <w:t>45</w:t>
      </w:r>
      <w:r w:rsidRPr="00086459">
        <w:rPr>
          <w:szCs w:val="24"/>
        </w:rPr>
        <w:t xml:space="preserve"> at p. 2)</w:t>
      </w:r>
      <w:r w:rsidR="002701E8" w:rsidRPr="00086459">
        <w:rPr>
          <w:szCs w:val="24"/>
        </w:rPr>
        <w:t>.</w:t>
      </w:r>
      <w:r w:rsidR="002701E8" w:rsidRPr="004473C4">
        <w:rPr>
          <w:szCs w:val="24"/>
        </w:rPr>
        <w:t xml:space="preserve"> </w:t>
      </w:r>
      <w:r w:rsidR="00D017D2" w:rsidRPr="004473C4">
        <w:rPr>
          <w:szCs w:val="24"/>
        </w:rPr>
        <w:t xml:space="preserve">Consequently, certification under </w:t>
      </w:r>
      <w:r w:rsidRPr="004473C4">
        <w:rPr>
          <w:szCs w:val="24"/>
        </w:rPr>
        <w:t>Rule 23(b)(2) is</w:t>
      </w:r>
      <w:r w:rsidR="00DE76AE">
        <w:rPr>
          <w:szCs w:val="24"/>
        </w:rPr>
        <w:t xml:space="preserve"> proper</w:t>
      </w:r>
      <w:r w:rsidRPr="004473C4">
        <w:rPr>
          <w:szCs w:val="24"/>
        </w:rPr>
        <w:t>.</w:t>
      </w:r>
    </w:p>
    <w:p w14:paraId="6BB6C232" w14:textId="166980A6" w:rsidR="00E01193" w:rsidRPr="004473C4" w:rsidRDefault="00E01193" w:rsidP="006C7448">
      <w:pPr>
        <w:pStyle w:val="ListParagraph"/>
        <w:keepNext/>
        <w:widowControl w:val="0"/>
        <w:numPr>
          <w:ilvl w:val="0"/>
          <w:numId w:val="4"/>
        </w:numPr>
        <w:spacing w:after="240"/>
        <w:ind w:right="720" w:hanging="720"/>
        <w:contextualSpacing w:val="0"/>
        <w:rPr>
          <w:b/>
          <w:bCs/>
          <w:szCs w:val="24"/>
        </w:rPr>
      </w:pPr>
      <w:r w:rsidRPr="004473C4">
        <w:rPr>
          <w:b/>
          <w:bCs/>
          <w:szCs w:val="24"/>
        </w:rPr>
        <w:t xml:space="preserve">The Agreement </w:t>
      </w:r>
      <w:r w:rsidR="0038007D" w:rsidRPr="004473C4">
        <w:rPr>
          <w:b/>
          <w:bCs/>
          <w:szCs w:val="24"/>
        </w:rPr>
        <w:t xml:space="preserve">Is </w:t>
      </w:r>
      <w:r w:rsidRPr="004473C4">
        <w:rPr>
          <w:b/>
          <w:bCs/>
          <w:szCs w:val="24"/>
        </w:rPr>
        <w:t>Fair</w:t>
      </w:r>
      <w:r w:rsidR="0038007D" w:rsidRPr="004473C4">
        <w:rPr>
          <w:b/>
          <w:bCs/>
          <w:szCs w:val="24"/>
        </w:rPr>
        <w:t xml:space="preserve">, </w:t>
      </w:r>
      <w:r w:rsidRPr="004473C4">
        <w:rPr>
          <w:b/>
          <w:bCs/>
          <w:szCs w:val="24"/>
        </w:rPr>
        <w:t>Reasonable</w:t>
      </w:r>
      <w:r w:rsidR="0038007D" w:rsidRPr="004473C4">
        <w:rPr>
          <w:b/>
          <w:bCs/>
          <w:szCs w:val="24"/>
        </w:rPr>
        <w:t xml:space="preserve">, And </w:t>
      </w:r>
      <w:r w:rsidRPr="004473C4">
        <w:rPr>
          <w:b/>
          <w:bCs/>
          <w:szCs w:val="24"/>
        </w:rPr>
        <w:t>Adequate</w:t>
      </w:r>
      <w:r w:rsidR="004473C4" w:rsidRPr="004473C4">
        <w:rPr>
          <w:b/>
          <w:bCs/>
          <w:szCs w:val="24"/>
        </w:rPr>
        <w:t>, And Should Be Preliminarily Approved</w:t>
      </w:r>
    </w:p>
    <w:p w14:paraId="62145BB7" w14:textId="0E377F7E" w:rsidR="00533180" w:rsidRPr="00380638" w:rsidRDefault="00533180" w:rsidP="00D819D9">
      <w:pPr>
        <w:widowControl w:val="0"/>
        <w:spacing w:line="480" w:lineRule="auto"/>
        <w:ind w:firstLine="720"/>
        <w:jc w:val="both"/>
        <w:rPr>
          <w:szCs w:val="24"/>
        </w:rPr>
      </w:pPr>
      <w:r w:rsidRPr="00673E62">
        <w:rPr>
          <w:szCs w:val="24"/>
        </w:rPr>
        <w:t xml:space="preserve">A class action can be settled </w:t>
      </w:r>
      <w:r w:rsidR="00C21AB0" w:rsidRPr="00673E62">
        <w:rPr>
          <w:szCs w:val="24"/>
        </w:rPr>
        <w:t>only with</w:t>
      </w:r>
      <w:r w:rsidRPr="00673E62">
        <w:rPr>
          <w:szCs w:val="24"/>
        </w:rPr>
        <w:t xml:space="preserve"> court approval based on a </w:t>
      </w:r>
      <w:r w:rsidR="00914D56" w:rsidRPr="00673E62">
        <w:rPr>
          <w:szCs w:val="24"/>
        </w:rPr>
        <w:t>finding</w:t>
      </w:r>
      <w:r w:rsidRPr="00673E62">
        <w:rPr>
          <w:szCs w:val="24"/>
        </w:rPr>
        <w:t xml:space="preserve"> that the settlement is </w:t>
      </w:r>
      <w:r w:rsidR="00D2371A" w:rsidRPr="00673E62">
        <w:rPr>
          <w:szCs w:val="24"/>
        </w:rPr>
        <w:t>“</w:t>
      </w:r>
      <w:r w:rsidRPr="00673E62">
        <w:rPr>
          <w:szCs w:val="24"/>
        </w:rPr>
        <w:t>fair, reasonable, and adequate</w:t>
      </w:r>
      <w:r w:rsidR="004543AB" w:rsidRPr="00673E62">
        <w:rPr>
          <w:szCs w:val="24"/>
        </w:rPr>
        <w:t>[</w:t>
      </w:r>
      <w:r w:rsidRPr="00673E62">
        <w:rPr>
          <w:szCs w:val="24"/>
        </w:rPr>
        <w:t>.</w:t>
      </w:r>
      <w:r w:rsidR="004543AB" w:rsidRPr="00673E62">
        <w:rPr>
          <w:szCs w:val="24"/>
        </w:rPr>
        <w:t>]</w:t>
      </w:r>
      <w:r w:rsidR="00D2371A" w:rsidRPr="00673E62">
        <w:rPr>
          <w:szCs w:val="24"/>
        </w:rPr>
        <w:t xml:space="preserve">” </w:t>
      </w:r>
      <w:r w:rsidRPr="00673E62">
        <w:rPr>
          <w:szCs w:val="24"/>
        </w:rPr>
        <w:t>Fed. R. Civ. P. 23(e). The</w:t>
      </w:r>
      <w:r w:rsidR="00D2371A" w:rsidRPr="00673E62">
        <w:rPr>
          <w:szCs w:val="24"/>
        </w:rPr>
        <w:t xml:space="preserve"> </w:t>
      </w:r>
      <w:r w:rsidRPr="00673E62">
        <w:rPr>
          <w:szCs w:val="24"/>
        </w:rPr>
        <w:t>fairness</w:t>
      </w:r>
      <w:r w:rsidR="00A5251C" w:rsidRPr="00673E62">
        <w:rPr>
          <w:szCs w:val="24"/>
        </w:rPr>
        <w:t xml:space="preserve"> inquiry</w:t>
      </w:r>
      <w:r w:rsidR="00D2371A" w:rsidRPr="00673E62">
        <w:rPr>
          <w:szCs w:val="24"/>
        </w:rPr>
        <w:t xml:space="preserve"> </w:t>
      </w:r>
      <w:r w:rsidR="00A5251C" w:rsidRPr="00673E62">
        <w:rPr>
          <w:szCs w:val="24"/>
        </w:rPr>
        <w:t>“</w:t>
      </w:r>
      <w:r w:rsidRPr="00673E62">
        <w:rPr>
          <w:szCs w:val="24"/>
        </w:rPr>
        <w:t>protects unnamed class members from unjust or unfair settlements affecting their rights when the representatives become fainthearted before the action is adjudicated or are able to secure satisfaction of their individual claims by a compromise.</w:t>
      </w:r>
      <w:r w:rsidR="006B317C" w:rsidRPr="00673E62">
        <w:rPr>
          <w:szCs w:val="24"/>
        </w:rPr>
        <w:t>”</w:t>
      </w:r>
      <w:r w:rsidR="00D2371A" w:rsidRPr="00673E62">
        <w:rPr>
          <w:szCs w:val="24"/>
        </w:rPr>
        <w:t xml:space="preserve"> </w:t>
      </w:r>
      <w:r w:rsidRPr="00673E62">
        <w:rPr>
          <w:i/>
          <w:iCs/>
          <w:szCs w:val="24"/>
        </w:rPr>
        <w:t>In re NFL Players Concussion Injury Litig</w:t>
      </w:r>
      <w:r w:rsidRPr="00673E62">
        <w:rPr>
          <w:szCs w:val="24"/>
        </w:rPr>
        <w:t>., 821 F.3d</w:t>
      </w:r>
      <w:r w:rsidR="0082131F" w:rsidRPr="00673E62">
        <w:rPr>
          <w:szCs w:val="24"/>
        </w:rPr>
        <w:t xml:space="preserve"> </w:t>
      </w:r>
      <w:r w:rsidR="005C73D5" w:rsidRPr="00673E62">
        <w:rPr>
          <w:szCs w:val="24"/>
        </w:rPr>
        <w:t>410,</w:t>
      </w:r>
      <w:r w:rsidRPr="00673E62">
        <w:rPr>
          <w:szCs w:val="24"/>
        </w:rPr>
        <w:t xml:space="preserve"> 436</w:t>
      </w:r>
      <w:r w:rsidR="005C73D5" w:rsidRPr="00673E62">
        <w:rPr>
          <w:szCs w:val="24"/>
        </w:rPr>
        <w:t xml:space="preserve"> (3d Cir. 2016)</w:t>
      </w:r>
      <w:r w:rsidRPr="00673E62">
        <w:rPr>
          <w:szCs w:val="24"/>
        </w:rPr>
        <w:t xml:space="preserve"> (quoting </w:t>
      </w:r>
      <w:proofErr w:type="spellStart"/>
      <w:r w:rsidRPr="00673E62">
        <w:rPr>
          <w:i/>
          <w:iCs/>
          <w:szCs w:val="24"/>
        </w:rPr>
        <w:t>Amchem</w:t>
      </w:r>
      <w:proofErr w:type="spellEnd"/>
      <w:r w:rsidRPr="00673E62">
        <w:rPr>
          <w:i/>
          <w:iCs/>
          <w:szCs w:val="24"/>
        </w:rPr>
        <w:t xml:space="preserve"> Prods., Inc. v. Windsor</w:t>
      </w:r>
      <w:r w:rsidRPr="00673E62">
        <w:rPr>
          <w:szCs w:val="24"/>
        </w:rPr>
        <w:t>, 521 U.S. 591, 623 (1997)</w:t>
      </w:r>
      <w:r w:rsidR="009B5084" w:rsidRPr="00673E62">
        <w:rPr>
          <w:szCs w:val="24"/>
        </w:rPr>
        <w:t>)</w:t>
      </w:r>
      <w:r w:rsidR="00AB22A5" w:rsidRPr="00673E62">
        <w:rPr>
          <w:szCs w:val="24"/>
        </w:rPr>
        <w:t xml:space="preserve">; </w:t>
      </w:r>
      <w:r w:rsidR="00AB22A5" w:rsidRPr="00673E62">
        <w:rPr>
          <w:i/>
          <w:iCs/>
          <w:szCs w:val="24"/>
        </w:rPr>
        <w:t>see also id</w:t>
      </w:r>
      <w:r w:rsidRPr="00673E62">
        <w:rPr>
          <w:i/>
          <w:iCs/>
          <w:szCs w:val="24"/>
        </w:rPr>
        <w:t>.</w:t>
      </w:r>
      <w:r w:rsidR="00AB22A5" w:rsidRPr="00673E62">
        <w:rPr>
          <w:szCs w:val="24"/>
        </w:rPr>
        <w:t xml:space="preserve"> (</w:t>
      </w:r>
      <w:r w:rsidR="00710B03" w:rsidRPr="00673E62">
        <w:rPr>
          <w:szCs w:val="24"/>
        </w:rPr>
        <w:t>“</w:t>
      </w:r>
      <w:r w:rsidR="00923E5F" w:rsidRPr="00673E62">
        <w:rPr>
          <w:szCs w:val="24"/>
        </w:rPr>
        <w:t xml:space="preserve">[District courts bear] </w:t>
      </w:r>
      <w:r w:rsidR="00EB0A91" w:rsidRPr="00673E62">
        <w:rPr>
          <w:szCs w:val="24"/>
        </w:rPr>
        <w:t xml:space="preserve">the important responsibility of protecting absent class members, ‘which is executed by </w:t>
      </w:r>
      <w:r w:rsidR="00FC6CD4" w:rsidRPr="00673E62">
        <w:rPr>
          <w:szCs w:val="24"/>
        </w:rPr>
        <w:t>. . .</w:t>
      </w:r>
      <w:r w:rsidR="00EB0A91" w:rsidRPr="00673E62">
        <w:rPr>
          <w:szCs w:val="24"/>
        </w:rPr>
        <w:t xml:space="preserve"> assuring that the settlement represents adequate compensation for the release of the class claims</w:t>
      </w:r>
      <w:r w:rsidR="00923E5F" w:rsidRPr="00673E62">
        <w:rPr>
          <w:szCs w:val="24"/>
        </w:rPr>
        <w:t>.</w:t>
      </w:r>
      <w:r w:rsidR="00EB0A91" w:rsidRPr="00673E62">
        <w:rPr>
          <w:szCs w:val="24"/>
        </w:rPr>
        <w:t>’”</w:t>
      </w:r>
      <w:r w:rsidR="00923E5F" w:rsidRPr="00673E62">
        <w:rPr>
          <w:szCs w:val="24"/>
        </w:rPr>
        <w:t xml:space="preserve">). </w:t>
      </w:r>
      <w:r w:rsidR="00EB0A91" w:rsidRPr="00673E62">
        <w:rPr>
          <w:szCs w:val="24"/>
        </w:rPr>
        <w:t xml:space="preserve">“In cases of settlement classes, where district courts are certifying a class </w:t>
      </w:r>
      <w:r w:rsidR="00EB0A91" w:rsidRPr="00673E62">
        <w:rPr>
          <w:szCs w:val="24"/>
        </w:rPr>
        <w:lastRenderedPageBreak/>
        <w:t>and approving a settlement in tandem, they should be ‘even more scrupulous than usual when examining the fairness of the proposed settlement.’”</w:t>
      </w:r>
      <w:r w:rsidR="00FC6CD4" w:rsidRPr="00673E62">
        <w:rPr>
          <w:szCs w:val="24"/>
        </w:rPr>
        <w:t xml:space="preserve"> </w:t>
      </w:r>
      <w:r w:rsidR="00EB0A91" w:rsidRPr="00673E62">
        <w:rPr>
          <w:i/>
          <w:iCs/>
          <w:szCs w:val="24"/>
        </w:rPr>
        <w:t>Id</w:t>
      </w:r>
      <w:r w:rsidR="00EB0A91" w:rsidRPr="00673E62">
        <w:rPr>
          <w:szCs w:val="24"/>
        </w:rPr>
        <w:t xml:space="preserve">. </w:t>
      </w:r>
      <w:r w:rsidR="00D35992" w:rsidRPr="00673E62">
        <w:rPr>
          <w:szCs w:val="24"/>
        </w:rPr>
        <w:t xml:space="preserve">Still, </w:t>
      </w:r>
      <w:r w:rsidR="006B317C" w:rsidRPr="00673E62">
        <w:rPr>
          <w:szCs w:val="24"/>
        </w:rPr>
        <w:t>“</w:t>
      </w:r>
      <w:r w:rsidR="00D35992" w:rsidRPr="00673E62">
        <w:rPr>
          <w:szCs w:val="24"/>
        </w:rPr>
        <w:t>w</w:t>
      </w:r>
      <w:r w:rsidRPr="00673E62">
        <w:rPr>
          <w:szCs w:val="24"/>
        </w:rPr>
        <w:t>hether to approve a proposed settlement of a class action is left to the sound discretion of the district court.</w:t>
      </w:r>
      <w:r w:rsidR="006B317C" w:rsidRPr="00673E62">
        <w:rPr>
          <w:szCs w:val="24"/>
        </w:rPr>
        <w:t>”</w:t>
      </w:r>
      <w:r w:rsidR="00FC6CD4" w:rsidRPr="00673E62">
        <w:rPr>
          <w:szCs w:val="24"/>
        </w:rPr>
        <w:t xml:space="preserve"> </w:t>
      </w:r>
      <w:r w:rsidRPr="00673E62">
        <w:rPr>
          <w:i/>
          <w:iCs/>
          <w:szCs w:val="24"/>
        </w:rPr>
        <w:t xml:space="preserve">In re Prudential Ins. Co. Am. Sales </w:t>
      </w:r>
      <w:r w:rsidRPr="00380638">
        <w:rPr>
          <w:i/>
          <w:iCs/>
          <w:szCs w:val="24"/>
        </w:rPr>
        <w:t>Practice Litig. Agent Actions</w:t>
      </w:r>
      <w:r w:rsidR="00AB46EA" w:rsidRPr="00380638">
        <w:rPr>
          <w:szCs w:val="24"/>
        </w:rPr>
        <w:t>, 148 F.3d 283, 299 (3d Cir. 1998)</w:t>
      </w:r>
      <w:r w:rsidRPr="00380638">
        <w:rPr>
          <w:i/>
          <w:iCs/>
          <w:szCs w:val="24"/>
        </w:rPr>
        <w:t xml:space="preserve"> </w:t>
      </w:r>
      <w:r w:rsidRPr="00380638">
        <w:rPr>
          <w:szCs w:val="24"/>
        </w:rPr>
        <w:t>(</w:t>
      </w:r>
      <w:r w:rsidR="006B317C" w:rsidRPr="00380638">
        <w:rPr>
          <w:szCs w:val="24"/>
        </w:rPr>
        <w:t>“</w:t>
      </w:r>
      <w:r w:rsidRPr="00380638">
        <w:rPr>
          <w:i/>
          <w:iCs/>
          <w:szCs w:val="24"/>
        </w:rPr>
        <w:t>Prudential</w:t>
      </w:r>
      <w:r w:rsidR="006B317C" w:rsidRPr="00380638">
        <w:rPr>
          <w:szCs w:val="24"/>
        </w:rPr>
        <w:t>”</w:t>
      </w:r>
      <w:r w:rsidRPr="00380638">
        <w:rPr>
          <w:szCs w:val="24"/>
        </w:rPr>
        <w:t>).</w:t>
      </w:r>
    </w:p>
    <w:p w14:paraId="1428A476" w14:textId="05D46F1F" w:rsidR="00533180" w:rsidRPr="00380638" w:rsidRDefault="0038007D" w:rsidP="006C7448">
      <w:pPr>
        <w:pStyle w:val="ListParagraph"/>
        <w:keepNext/>
        <w:widowControl w:val="0"/>
        <w:numPr>
          <w:ilvl w:val="1"/>
          <w:numId w:val="4"/>
        </w:numPr>
        <w:spacing w:after="240"/>
        <w:ind w:right="720" w:hanging="720"/>
        <w:contextualSpacing w:val="0"/>
        <w:rPr>
          <w:b/>
          <w:bCs/>
          <w:szCs w:val="24"/>
        </w:rPr>
      </w:pPr>
      <w:r w:rsidRPr="00380638">
        <w:rPr>
          <w:b/>
          <w:bCs/>
          <w:szCs w:val="24"/>
        </w:rPr>
        <w:t>The Agreement Is Presumptively Fair</w:t>
      </w:r>
    </w:p>
    <w:p w14:paraId="5461D7C4" w14:textId="75EF6BAC" w:rsidR="008565E4" w:rsidRPr="00380638" w:rsidRDefault="008565E4" w:rsidP="006C7448">
      <w:pPr>
        <w:widowControl w:val="0"/>
        <w:spacing w:line="480" w:lineRule="auto"/>
        <w:ind w:firstLine="720"/>
        <w:jc w:val="both"/>
        <w:rPr>
          <w:szCs w:val="24"/>
        </w:rPr>
      </w:pPr>
      <w:r w:rsidRPr="00380638">
        <w:rPr>
          <w:szCs w:val="24"/>
        </w:rPr>
        <w:t xml:space="preserve">District courts in the Third Circuit </w:t>
      </w:r>
      <w:r w:rsidR="006B317C" w:rsidRPr="00380638">
        <w:rPr>
          <w:szCs w:val="24"/>
        </w:rPr>
        <w:t>“</w:t>
      </w:r>
      <w:r w:rsidRPr="00380638">
        <w:rPr>
          <w:szCs w:val="24"/>
        </w:rPr>
        <w:t xml:space="preserve">apply an initial presumption of fairness in reviewing a class settlement when: </w:t>
      </w:r>
      <w:r w:rsidR="006B317C" w:rsidRPr="00380638">
        <w:rPr>
          <w:szCs w:val="24"/>
        </w:rPr>
        <w:t>‘</w:t>
      </w:r>
      <w:r w:rsidRPr="00380638">
        <w:rPr>
          <w:szCs w:val="24"/>
        </w:rPr>
        <w:t xml:space="preserve">(1) the negotiations occurred at </w:t>
      </w:r>
      <w:r w:rsidR="00201869" w:rsidRPr="00380638">
        <w:rPr>
          <w:szCs w:val="24"/>
        </w:rPr>
        <w:t xml:space="preserve">arms </w:t>
      </w:r>
      <w:r w:rsidR="00EC4A09" w:rsidRPr="00380638">
        <w:rPr>
          <w:szCs w:val="24"/>
        </w:rPr>
        <w:t>[</w:t>
      </w:r>
      <w:r w:rsidR="00EC4A09" w:rsidRPr="00380638">
        <w:rPr>
          <w:i/>
          <w:iCs/>
          <w:szCs w:val="24"/>
        </w:rPr>
        <w:t>sic</w:t>
      </w:r>
      <w:r w:rsidR="00EC4A09" w:rsidRPr="00380638">
        <w:rPr>
          <w:szCs w:val="24"/>
        </w:rPr>
        <w:t xml:space="preserve">] </w:t>
      </w:r>
      <w:r w:rsidR="00201869" w:rsidRPr="00380638">
        <w:rPr>
          <w:szCs w:val="24"/>
        </w:rPr>
        <w:t>length</w:t>
      </w:r>
      <w:r w:rsidRPr="00380638">
        <w:rPr>
          <w:szCs w:val="24"/>
        </w:rPr>
        <w:t>; (2) there was sufficient discovery; (3) the proponents of the settlement are experienced in similar litigation; and (4) only a small fraction of the class objected.</w:t>
      </w:r>
      <w:r w:rsidR="006B317C" w:rsidRPr="00380638">
        <w:rPr>
          <w:szCs w:val="24"/>
        </w:rPr>
        <w:t>’”</w:t>
      </w:r>
      <w:r w:rsidRPr="00380638">
        <w:rPr>
          <w:szCs w:val="24"/>
        </w:rPr>
        <w:t xml:space="preserve"> </w:t>
      </w:r>
      <w:r w:rsidRPr="00380638">
        <w:rPr>
          <w:i/>
          <w:iCs/>
          <w:szCs w:val="24"/>
        </w:rPr>
        <w:t>In re NFL Players Concussion Injury Litig</w:t>
      </w:r>
      <w:r w:rsidRPr="00380638">
        <w:rPr>
          <w:szCs w:val="24"/>
        </w:rPr>
        <w:t>., 821 F.3d at 436.</w:t>
      </w:r>
    </w:p>
    <w:p w14:paraId="73A98048" w14:textId="369CFA18" w:rsidR="008565E4" w:rsidRPr="00380638" w:rsidRDefault="008565E4" w:rsidP="006C7448">
      <w:pPr>
        <w:pStyle w:val="ListParagraph"/>
        <w:keepNext/>
        <w:widowControl w:val="0"/>
        <w:numPr>
          <w:ilvl w:val="2"/>
          <w:numId w:val="4"/>
        </w:numPr>
        <w:spacing w:after="240"/>
        <w:ind w:left="2880" w:right="720" w:hanging="720"/>
        <w:contextualSpacing w:val="0"/>
        <w:rPr>
          <w:szCs w:val="24"/>
        </w:rPr>
      </w:pPr>
      <w:r w:rsidRPr="00380638">
        <w:rPr>
          <w:b/>
          <w:bCs/>
          <w:szCs w:val="24"/>
        </w:rPr>
        <w:t xml:space="preserve">Negotiations Occurred </w:t>
      </w:r>
      <w:r w:rsidR="0038007D" w:rsidRPr="00380638">
        <w:rPr>
          <w:b/>
          <w:bCs/>
          <w:szCs w:val="24"/>
        </w:rPr>
        <w:t xml:space="preserve">At </w:t>
      </w:r>
      <w:r w:rsidR="00F30358" w:rsidRPr="00380638">
        <w:rPr>
          <w:b/>
          <w:bCs/>
          <w:szCs w:val="24"/>
        </w:rPr>
        <w:t>Arms</w:t>
      </w:r>
      <w:r w:rsidR="00935FEB" w:rsidRPr="00380638">
        <w:rPr>
          <w:b/>
          <w:bCs/>
          <w:szCs w:val="24"/>
        </w:rPr>
        <w:t>’</w:t>
      </w:r>
      <w:r w:rsidR="00F30358" w:rsidRPr="00380638">
        <w:rPr>
          <w:b/>
          <w:bCs/>
          <w:szCs w:val="24"/>
        </w:rPr>
        <w:t xml:space="preserve"> </w:t>
      </w:r>
      <w:r w:rsidRPr="00380638">
        <w:rPr>
          <w:b/>
          <w:bCs/>
          <w:szCs w:val="24"/>
        </w:rPr>
        <w:t>Length</w:t>
      </w:r>
    </w:p>
    <w:p w14:paraId="4D8E57C0" w14:textId="5D5C90A3" w:rsidR="00885EB7" w:rsidRPr="005B5528" w:rsidRDefault="00885EB7" w:rsidP="006C7448">
      <w:pPr>
        <w:widowControl w:val="0"/>
        <w:spacing w:line="480" w:lineRule="auto"/>
        <w:ind w:firstLine="720"/>
        <w:jc w:val="both"/>
        <w:rPr>
          <w:iCs/>
          <w:szCs w:val="24"/>
        </w:rPr>
      </w:pPr>
      <w:r w:rsidRPr="00C94E6B">
        <w:rPr>
          <w:iCs/>
          <w:szCs w:val="24"/>
        </w:rPr>
        <w:t xml:space="preserve">The parties devoted </w:t>
      </w:r>
      <w:r w:rsidR="00F370DB" w:rsidRPr="00C94E6B">
        <w:rPr>
          <w:iCs/>
          <w:szCs w:val="24"/>
        </w:rPr>
        <w:t>years</w:t>
      </w:r>
      <w:r w:rsidRPr="00C94E6B">
        <w:rPr>
          <w:iCs/>
          <w:szCs w:val="24"/>
        </w:rPr>
        <w:t xml:space="preserve"> to </w:t>
      </w:r>
      <w:r w:rsidR="00BC0A36" w:rsidRPr="00C94E6B">
        <w:rPr>
          <w:iCs/>
          <w:szCs w:val="24"/>
        </w:rPr>
        <w:t xml:space="preserve">proactively </w:t>
      </w:r>
      <w:r w:rsidRPr="00C94E6B">
        <w:rPr>
          <w:iCs/>
          <w:szCs w:val="24"/>
        </w:rPr>
        <w:t>resolving Plaintiff</w:t>
      </w:r>
      <w:r w:rsidR="00746814" w:rsidRPr="00C94E6B">
        <w:rPr>
          <w:iCs/>
          <w:szCs w:val="24"/>
        </w:rPr>
        <w:t xml:space="preserve">’s </w:t>
      </w:r>
      <w:r w:rsidRPr="00C94E6B">
        <w:rPr>
          <w:iCs/>
          <w:szCs w:val="24"/>
        </w:rPr>
        <w:t xml:space="preserve">claims. </w:t>
      </w:r>
      <w:r w:rsidR="008F37C0" w:rsidRPr="00C94E6B">
        <w:rPr>
          <w:iCs/>
          <w:szCs w:val="24"/>
        </w:rPr>
        <w:t xml:space="preserve">Plaintiff’s </w:t>
      </w:r>
      <w:r w:rsidRPr="00C94E6B">
        <w:rPr>
          <w:iCs/>
          <w:szCs w:val="24"/>
        </w:rPr>
        <w:t xml:space="preserve">counsel </w:t>
      </w:r>
      <w:r w:rsidR="00A64163" w:rsidRPr="00C94E6B">
        <w:rPr>
          <w:iCs/>
          <w:szCs w:val="24"/>
        </w:rPr>
        <w:t>drew</w:t>
      </w:r>
      <w:r w:rsidRPr="00C94E6B">
        <w:rPr>
          <w:iCs/>
          <w:szCs w:val="24"/>
        </w:rPr>
        <w:t xml:space="preserve"> upon their experience resolving similar claims to achieve a resolution </w:t>
      </w:r>
      <w:r w:rsidR="00F370DB" w:rsidRPr="00C94E6B">
        <w:rPr>
          <w:iCs/>
          <w:szCs w:val="24"/>
        </w:rPr>
        <w:t>that is comparable</w:t>
      </w:r>
      <w:r w:rsidR="002D684F">
        <w:rPr>
          <w:iCs/>
          <w:szCs w:val="24"/>
        </w:rPr>
        <w:t xml:space="preserve"> to, or exceeds,</w:t>
      </w:r>
      <w:r w:rsidRPr="00C94E6B">
        <w:rPr>
          <w:iCs/>
          <w:szCs w:val="24"/>
        </w:rPr>
        <w:t xml:space="preserve"> the obligations contained in every publicly available settlement resolving digital accessibility claims of which </w:t>
      </w:r>
      <w:r w:rsidR="008F37C0" w:rsidRPr="00C94E6B">
        <w:rPr>
          <w:iCs/>
          <w:szCs w:val="24"/>
        </w:rPr>
        <w:t xml:space="preserve">Plaintiff’s </w:t>
      </w:r>
      <w:r w:rsidRPr="00C94E6B">
        <w:rPr>
          <w:iCs/>
          <w:szCs w:val="24"/>
        </w:rPr>
        <w:t>counsel are aware</w:t>
      </w:r>
      <w:r w:rsidR="00746814" w:rsidRPr="00C94E6B">
        <w:rPr>
          <w:iCs/>
          <w:szCs w:val="24"/>
        </w:rPr>
        <w:t xml:space="preserve">, </w:t>
      </w:r>
      <w:r w:rsidR="00F370DB" w:rsidRPr="00C94E6B">
        <w:rPr>
          <w:iCs/>
          <w:szCs w:val="24"/>
        </w:rPr>
        <w:t>including</w:t>
      </w:r>
      <w:r w:rsidR="00746814" w:rsidRPr="00C94E6B">
        <w:rPr>
          <w:iCs/>
          <w:szCs w:val="24"/>
        </w:rPr>
        <w:t xml:space="preserve"> the </w:t>
      </w:r>
      <w:r w:rsidR="00432AB5">
        <w:rPr>
          <w:iCs/>
          <w:szCs w:val="24"/>
        </w:rPr>
        <w:t xml:space="preserve">class </w:t>
      </w:r>
      <w:r w:rsidR="00746814" w:rsidRPr="00C94E6B">
        <w:rPr>
          <w:iCs/>
          <w:szCs w:val="24"/>
        </w:rPr>
        <w:t>settlement</w:t>
      </w:r>
      <w:r w:rsidR="00755E22" w:rsidRPr="00C94E6B">
        <w:rPr>
          <w:iCs/>
          <w:szCs w:val="24"/>
        </w:rPr>
        <w:t xml:space="preserve">s </w:t>
      </w:r>
      <w:r w:rsidR="00755E22" w:rsidRPr="00432AB5">
        <w:rPr>
          <w:iCs/>
          <w:szCs w:val="24"/>
        </w:rPr>
        <w:t xml:space="preserve">approved in </w:t>
      </w:r>
      <w:r w:rsidR="00755E22" w:rsidRPr="00432AB5">
        <w:rPr>
          <w:i/>
          <w:szCs w:val="24"/>
        </w:rPr>
        <w:t>Eyebobs</w:t>
      </w:r>
      <w:r w:rsidR="00755E22" w:rsidRPr="00432AB5">
        <w:rPr>
          <w:iCs/>
          <w:szCs w:val="24"/>
        </w:rPr>
        <w:t xml:space="preserve">, </w:t>
      </w:r>
      <w:r w:rsidR="00755E22" w:rsidRPr="00432AB5">
        <w:rPr>
          <w:i/>
          <w:szCs w:val="24"/>
        </w:rPr>
        <w:t>Charles Tyrwhitt</w:t>
      </w:r>
      <w:r w:rsidR="00755E22" w:rsidRPr="00432AB5">
        <w:rPr>
          <w:iCs/>
          <w:szCs w:val="24"/>
        </w:rPr>
        <w:t xml:space="preserve">, </w:t>
      </w:r>
      <w:r w:rsidR="00F44A8C" w:rsidRPr="00432AB5">
        <w:rPr>
          <w:i/>
          <w:szCs w:val="24"/>
        </w:rPr>
        <w:t>The Hundreds</w:t>
      </w:r>
      <w:r w:rsidR="00F44A8C" w:rsidRPr="00432AB5">
        <w:rPr>
          <w:iCs/>
          <w:szCs w:val="24"/>
        </w:rPr>
        <w:t xml:space="preserve">, </w:t>
      </w:r>
      <w:r w:rsidR="00755E22" w:rsidRPr="00432AB5">
        <w:rPr>
          <w:i/>
          <w:szCs w:val="24"/>
        </w:rPr>
        <w:t>Optavia</w:t>
      </w:r>
      <w:r w:rsidR="00755E22" w:rsidRPr="00432AB5">
        <w:rPr>
          <w:iCs/>
          <w:szCs w:val="24"/>
        </w:rPr>
        <w:t xml:space="preserve">, </w:t>
      </w:r>
      <w:r w:rsidR="00755E22" w:rsidRPr="005B5528">
        <w:rPr>
          <w:iCs/>
          <w:szCs w:val="24"/>
        </w:rPr>
        <w:t xml:space="preserve">and </w:t>
      </w:r>
      <w:r w:rsidR="00755E22" w:rsidRPr="005B5528">
        <w:rPr>
          <w:i/>
          <w:szCs w:val="24"/>
        </w:rPr>
        <w:t>Poly-Wood</w:t>
      </w:r>
      <w:r w:rsidR="00755E22" w:rsidRPr="005B5528">
        <w:rPr>
          <w:iCs/>
          <w:szCs w:val="24"/>
        </w:rPr>
        <w:t xml:space="preserve">. </w:t>
      </w:r>
      <w:r w:rsidR="00BC0A36" w:rsidRPr="005B5528">
        <w:rPr>
          <w:iCs/>
          <w:szCs w:val="24"/>
        </w:rPr>
        <w:t xml:space="preserve">Moreover, negotiation of the material terms of the Agreement was conducted without regard to the payment of </w:t>
      </w:r>
      <w:r w:rsidR="008F37C0" w:rsidRPr="005B5528">
        <w:rPr>
          <w:iCs/>
          <w:szCs w:val="24"/>
        </w:rPr>
        <w:t xml:space="preserve">Plaintiff’s </w:t>
      </w:r>
      <w:r w:rsidR="00BC0A36" w:rsidRPr="005B5528">
        <w:rPr>
          <w:iCs/>
          <w:szCs w:val="24"/>
        </w:rPr>
        <w:t>attorneys</w:t>
      </w:r>
      <w:r w:rsidR="006B317C" w:rsidRPr="005B5528">
        <w:rPr>
          <w:iCs/>
          <w:szCs w:val="24"/>
        </w:rPr>
        <w:t>’</w:t>
      </w:r>
      <w:r w:rsidR="00BC0A36" w:rsidRPr="005B5528">
        <w:rPr>
          <w:iCs/>
          <w:szCs w:val="24"/>
        </w:rPr>
        <w:t xml:space="preserve"> fees and costs. </w:t>
      </w:r>
      <w:r w:rsidR="007936E5" w:rsidRPr="005B5528">
        <w:rPr>
          <w:iCs/>
          <w:szCs w:val="24"/>
        </w:rPr>
        <w:t xml:space="preserve">In other words, </w:t>
      </w:r>
      <w:r w:rsidR="008F37C0" w:rsidRPr="005B5528">
        <w:rPr>
          <w:iCs/>
          <w:szCs w:val="24"/>
        </w:rPr>
        <w:t>Plaintiff</w:t>
      </w:r>
      <w:r w:rsidR="007936E5" w:rsidRPr="005B5528">
        <w:rPr>
          <w:iCs/>
          <w:szCs w:val="24"/>
        </w:rPr>
        <w:t xml:space="preserve"> did not bargain away the right to pursue injunctive relief </w:t>
      </w:r>
      <w:r w:rsidR="00C25614">
        <w:rPr>
          <w:iCs/>
          <w:szCs w:val="24"/>
        </w:rPr>
        <w:t>to receive</w:t>
      </w:r>
      <w:r w:rsidR="007936E5" w:rsidRPr="005B5528">
        <w:rPr>
          <w:iCs/>
          <w:szCs w:val="24"/>
        </w:rPr>
        <w:t xml:space="preserve"> greater fees</w:t>
      </w:r>
      <w:r w:rsidR="00DE72D4" w:rsidRPr="005B5528">
        <w:rPr>
          <w:iCs/>
          <w:szCs w:val="24"/>
        </w:rPr>
        <w:t>—as demonstrated by the comprehensive obligations the Agreement</w:t>
      </w:r>
      <w:r w:rsidR="00C25614">
        <w:rPr>
          <w:iCs/>
          <w:szCs w:val="24"/>
        </w:rPr>
        <w:t xml:space="preserve"> contains</w:t>
      </w:r>
      <w:r w:rsidR="007936E5" w:rsidRPr="005B5528">
        <w:rPr>
          <w:iCs/>
          <w:szCs w:val="24"/>
        </w:rPr>
        <w:t xml:space="preserve">. </w:t>
      </w:r>
      <w:r w:rsidR="00BC0A36" w:rsidRPr="005B5528">
        <w:rPr>
          <w:iCs/>
          <w:szCs w:val="24"/>
        </w:rPr>
        <w:t xml:space="preserve">The Court should not </w:t>
      </w:r>
      <w:r w:rsidR="006B317C" w:rsidRPr="005B5528">
        <w:rPr>
          <w:iCs/>
          <w:szCs w:val="24"/>
        </w:rPr>
        <w:t>“</w:t>
      </w:r>
      <w:r w:rsidR="00647134" w:rsidRPr="005B5528">
        <w:rPr>
          <w:iCs/>
          <w:szCs w:val="24"/>
        </w:rPr>
        <w:t>intrude overly on the parties</w:t>
      </w:r>
      <w:r w:rsidR="006B317C" w:rsidRPr="005B5528">
        <w:rPr>
          <w:iCs/>
          <w:szCs w:val="24"/>
        </w:rPr>
        <w:t>’</w:t>
      </w:r>
      <w:r w:rsidR="00647134" w:rsidRPr="005B5528">
        <w:rPr>
          <w:iCs/>
          <w:szCs w:val="24"/>
        </w:rPr>
        <w:t xml:space="preserve"> hard-fought bargain.</w:t>
      </w:r>
      <w:r w:rsidR="006B317C" w:rsidRPr="005B5528">
        <w:rPr>
          <w:iCs/>
          <w:szCs w:val="24"/>
        </w:rPr>
        <w:t>”</w:t>
      </w:r>
      <w:r w:rsidR="00647134" w:rsidRPr="005B5528">
        <w:rPr>
          <w:iCs/>
          <w:szCs w:val="24"/>
        </w:rPr>
        <w:t xml:space="preserve"> </w:t>
      </w:r>
      <w:r w:rsidR="00647134" w:rsidRPr="005B5528">
        <w:rPr>
          <w:i/>
          <w:szCs w:val="24"/>
        </w:rPr>
        <w:t>In re Google Inc. Cookie Placement Consumer Privacy Litig</w:t>
      </w:r>
      <w:r w:rsidR="00647134" w:rsidRPr="005B5528">
        <w:rPr>
          <w:iCs/>
          <w:szCs w:val="24"/>
        </w:rPr>
        <w:t>., 934 F.3d 316, 326 (3d Cir. 2019).</w:t>
      </w:r>
    </w:p>
    <w:p w14:paraId="1E137AB2" w14:textId="2240F756" w:rsidR="008565E4" w:rsidRPr="00AD18FF" w:rsidRDefault="00885EB7" w:rsidP="00633C34">
      <w:pPr>
        <w:pStyle w:val="ListParagraph"/>
        <w:keepNext/>
        <w:widowControl w:val="0"/>
        <w:numPr>
          <w:ilvl w:val="2"/>
          <w:numId w:val="4"/>
        </w:numPr>
        <w:spacing w:after="240"/>
        <w:ind w:left="2880" w:right="720" w:hanging="720"/>
        <w:contextualSpacing w:val="0"/>
        <w:rPr>
          <w:szCs w:val="24"/>
        </w:rPr>
      </w:pPr>
      <w:r w:rsidRPr="00AD18FF">
        <w:rPr>
          <w:b/>
          <w:bCs/>
          <w:szCs w:val="24"/>
        </w:rPr>
        <w:t xml:space="preserve">Robust Discovery </w:t>
      </w:r>
      <w:r w:rsidR="00F45A51" w:rsidRPr="00AD18FF">
        <w:rPr>
          <w:b/>
          <w:bCs/>
          <w:szCs w:val="24"/>
        </w:rPr>
        <w:t>Was Not Required Because</w:t>
      </w:r>
      <w:r w:rsidRPr="00AD18FF">
        <w:rPr>
          <w:b/>
          <w:bCs/>
          <w:szCs w:val="24"/>
        </w:rPr>
        <w:t xml:space="preserve"> </w:t>
      </w:r>
      <w:r w:rsidR="0038007D" w:rsidRPr="00AD18FF">
        <w:rPr>
          <w:b/>
          <w:bCs/>
          <w:szCs w:val="24"/>
        </w:rPr>
        <w:t xml:space="preserve">The </w:t>
      </w:r>
      <w:r w:rsidRPr="00AD18FF">
        <w:rPr>
          <w:b/>
          <w:bCs/>
          <w:szCs w:val="24"/>
        </w:rPr>
        <w:t xml:space="preserve">Accessibility </w:t>
      </w:r>
      <w:r w:rsidR="0038007D" w:rsidRPr="00AD18FF">
        <w:rPr>
          <w:b/>
          <w:bCs/>
          <w:szCs w:val="24"/>
        </w:rPr>
        <w:t xml:space="preserve">Of </w:t>
      </w:r>
      <w:r w:rsidRPr="00AD18FF">
        <w:rPr>
          <w:b/>
          <w:bCs/>
          <w:szCs w:val="24"/>
        </w:rPr>
        <w:t>Defendant</w:t>
      </w:r>
      <w:r w:rsidR="006B317C" w:rsidRPr="00AD18FF">
        <w:rPr>
          <w:b/>
          <w:bCs/>
          <w:szCs w:val="24"/>
        </w:rPr>
        <w:t>’</w:t>
      </w:r>
      <w:r w:rsidRPr="00AD18FF">
        <w:rPr>
          <w:b/>
          <w:bCs/>
          <w:szCs w:val="24"/>
        </w:rPr>
        <w:t>s Website</w:t>
      </w:r>
      <w:r w:rsidR="005D7667" w:rsidRPr="00AD18FF">
        <w:rPr>
          <w:b/>
          <w:bCs/>
          <w:szCs w:val="24"/>
        </w:rPr>
        <w:t>s</w:t>
      </w:r>
      <w:r w:rsidRPr="00AD18FF">
        <w:rPr>
          <w:b/>
          <w:bCs/>
          <w:szCs w:val="24"/>
        </w:rPr>
        <w:t xml:space="preserve"> </w:t>
      </w:r>
      <w:r w:rsidR="00F45A51" w:rsidRPr="00AD18FF">
        <w:rPr>
          <w:b/>
          <w:bCs/>
          <w:szCs w:val="24"/>
        </w:rPr>
        <w:t xml:space="preserve">Was </w:t>
      </w:r>
      <w:r w:rsidR="00163F2A" w:rsidRPr="00AD18FF">
        <w:rPr>
          <w:b/>
          <w:bCs/>
          <w:szCs w:val="24"/>
        </w:rPr>
        <w:t>Obtain</w:t>
      </w:r>
      <w:r w:rsidR="00C72AB9" w:rsidRPr="00AD18FF">
        <w:rPr>
          <w:b/>
          <w:bCs/>
          <w:szCs w:val="24"/>
        </w:rPr>
        <w:t xml:space="preserve">ed </w:t>
      </w:r>
      <w:r w:rsidRPr="00AD18FF">
        <w:rPr>
          <w:b/>
          <w:bCs/>
          <w:szCs w:val="24"/>
        </w:rPr>
        <w:t>Independently</w:t>
      </w:r>
    </w:p>
    <w:p w14:paraId="7CBF8858" w14:textId="341E8260" w:rsidR="00647134" w:rsidRPr="00CA135A" w:rsidRDefault="008F37C0" w:rsidP="006C7448">
      <w:pPr>
        <w:widowControl w:val="0"/>
        <w:spacing w:line="480" w:lineRule="auto"/>
        <w:ind w:firstLine="720"/>
        <w:jc w:val="both"/>
        <w:rPr>
          <w:szCs w:val="24"/>
        </w:rPr>
      </w:pPr>
      <w:r w:rsidRPr="00E45D61">
        <w:rPr>
          <w:szCs w:val="24"/>
        </w:rPr>
        <w:t>Plaintiff</w:t>
      </w:r>
      <w:r w:rsidR="008C3627" w:rsidRPr="00E45D61">
        <w:rPr>
          <w:szCs w:val="24"/>
        </w:rPr>
        <w:t xml:space="preserve"> and </w:t>
      </w:r>
      <w:r w:rsidR="00FD1F0A" w:rsidRPr="00E45D61">
        <w:rPr>
          <w:szCs w:val="24"/>
        </w:rPr>
        <w:t>his legal team</w:t>
      </w:r>
      <w:r w:rsidR="008C3627" w:rsidRPr="00E45D61">
        <w:rPr>
          <w:szCs w:val="24"/>
        </w:rPr>
        <w:t xml:space="preserve"> conducted multiple rounds of </w:t>
      </w:r>
      <w:r w:rsidR="0080261E" w:rsidRPr="00E45D61">
        <w:rPr>
          <w:szCs w:val="24"/>
        </w:rPr>
        <w:t>end-user reviews</w:t>
      </w:r>
      <w:r w:rsidR="008C3627" w:rsidRPr="00E45D61">
        <w:rPr>
          <w:szCs w:val="24"/>
        </w:rPr>
        <w:t xml:space="preserve"> to determine whether </w:t>
      </w:r>
      <w:r w:rsidR="002E749D">
        <w:rPr>
          <w:szCs w:val="24"/>
        </w:rPr>
        <w:t>the Websites</w:t>
      </w:r>
      <w:r w:rsidR="008C3627" w:rsidRPr="00E45D61">
        <w:rPr>
          <w:szCs w:val="24"/>
        </w:rPr>
        <w:t xml:space="preserve"> </w:t>
      </w:r>
      <w:r w:rsidR="0080261E" w:rsidRPr="00E45D61">
        <w:rPr>
          <w:szCs w:val="24"/>
        </w:rPr>
        <w:t>are</w:t>
      </w:r>
      <w:r w:rsidR="008C3627" w:rsidRPr="00E45D61">
        <w:rPr>
          <w:szCs w:val="24"/>
        </w:rPr>
        <w:t xml:space="preserve"> fully and equally accessible to blind </w:t>
      </w:r>
      <w:r w:rsidR="0080261E" w:rsidRPr="00E45D61">
        <w:rPr>
          <w:szCs w:val="24"/>
        </w:rPr>
        <w:t>consumer</w:t>
      </w:r>
      <w:r w:rsidR="00FD1F0A" w:rsidRPr="00E45D61">
        <w:rPr>
          <w:szCs w:val="24"/>
        </w:rPr>
        <w:t>s</w:t>
      </w:r>
      <w:r w:rsidR="00B57EE5" w:rsidRPr="00E45D61">
        <w:rPr>
          <w:szCs w:val="24"/>
        </w:rPr>
        <w:t xml:space="preserve">. </w:t>
      </w:r>
      <w:r w:rsidR="00823C9E" w:rsidRPr="00E45D61">
        <w:rPr>
          <w:szCs w:val="24"/>
        </w:rPr>
        <w:t xml:space="preserve">From </w:t>
      </w:r>
      <w:r w:rsidR="00FD1F0A" w:rsidRPr="00E45D61">
        <w:rPr>
          <w:szCs w:val="24"/>
        </w:rPr>
        <w:t>t</w:t>
      </w:r>
      <w:r w:rsidR="0080261E" w:rsidRPr="00E45D61">
        <w:rPr>
          <w:szCs w:val="24"/>
        </w:rPr>
        <w:t>hese reviews</w:t>
      </w:r>
      <w:r w:rsidR="00823C9E" w:rsidRPr="00E45D61">
        <w:rPr>
          <w:szCs w:val="24"/>
        </w:rPr>
        <w:t xml:space="preserve">, </w:t>
      </w:r>
      <w:r w:rsidRPr="00E45D61">
        <w:rPr>
          <w:szCs w:val="24"/>
        </w:rPr>
        <w:lastRenderedPageBreak/>
        <w:t>Plaintiff</w:t>
      </w:r>
      <w:r w:rsidR="00B57EE5" w:rsidRPr="00E45D61">
        <w:rPr>
          <w:szCs w:val="24"/>
        </w:rPr>
        <w:t xml:space="preserve"> determined </w:t>
      </w:r>
      <w:r w:rsidR="0080261E" w:rsidRPr="00E45D61">
        <w:rPr>
          <w:szCs w:val="24"/>
        </w:rPr>
        <w:t>the Websites</w:t>
      </w:r>
      <w:r w:rsidR="00FD1F0A" w:rsidRPr="00E45D61">
        <w:rPr>
          <w:szCs w:val="24"/>
        </w:rPr>
        <w:t xml:space="preserve"> </w:t>
      </w:r>
      <w:r w:rsidR="0080261E" w:rsidRPr="00E45D61">
        <w:rPr>
          <w:szCs w:val="24"/>
        </w:rPr>
        <w:t>are</w:t>
      </w:r>
      <w:r w:rsidR="00F45A51" w:rsidRPr="00E45D61">
        <w:rPr>
          <w:szCs w:val="24"/>
        </w:rPr>
        <w:t xml:space="preserve"> </w:t>
      </w:r>
      <w:r w:rsidR="00B57EE5" w:rsidRPr="00E45D61">
        <w:rPr>
          <w:szCs w:val="24"/>
        </w:rPr>
        <w:t xml:space="preserve">not accessible to </w:t>
      </w:r>
      <w:r w:rsidR="00B756F1" w:rsidRPr="00E45D61">
        <w:rPr>
          <w:szCs w:val="24"/>
        </w:rPr>
        <w:t>him</w:t>
      </w:r>
      <w:r w:rsidR="00B57EE5" w:rsidRPr="00E45D61">
        <w:rPr>
          <w:szCs w:val="24"/>
        </w:rPr>
        <w:t xml:space="preserve"> and the </w:t>
      </w:r>
      <w:r w:rsidR="002E749D">
        <w:rPr>
          <w:szCs w:val="24"/>
        </w:rPr>
        <w:t>class</w:t>
      </w:r>
      <w:r w:rsidR="00B57EE5" w:rsidRPr="00E45D61">
        <w:rPr>
          <w:szCs w:val="24"/>
        </w:rPr>
        <w:t xml:space="preserve">. </w:t>
      </w:r>
      <w:r w:rsidRPr="00E45D61">
        <w:rPr>
          <w:szCs w:val="24"/>
        </w:rPr>
        <w:t>Plaintiff</w:t>
      </w:r>
      <w:r w:rsidR="00B57EE5" w:rsidRPr="00E45D61">
        <w:rPr>
          <w:szCs w:val="24"/>
        </w:rPr>
        <w:t xml:space="preserve"> do</w:t>
      </w:r>
      <w:r w:rsidR="00B756F1" w:rsidRPr="00E45D61">
        <w:rPr>
          <w:szCs w:val="24"/>
        </w:rPr>
        <w:t>es</w:t>
      </w:r>
      <w:r w:rsidR="00B57EE5" w:rsidRPr="00E45D61">
        <w:rPr>
          <w:szCs w:val="24"/>
        </w:rPr>
        <w:t xml:space="preserve"> not require additional discovery to determine whether </w:t>
      </w:r>
      <w:r w:rsidR="00E45D61" w:rsidRPr="00E45D61">
        <w:rPr>
          <w:szCs w:val="24"/>
        </w:rPr>
        <w:t>the Websites</w:t>
      </w:r>
      <w:r w:rsidR="00B57EE5" w:rsidRPr="00E45D61">
        <w:rPr>
          <w:szCs w:val="24"/>
        </w:rPr>
        <w:t xml:space="preserve"> </w:t>
      </w:r>
      <w:r w:rsidR="00E45D61" w:rsidRPr="00E45D61">
        <w:rPr>
          <w:szCs w:val="24"/>
        </w:rPr>
        <w:t>are</w:t>
      </w:r>
      <w:r w:rsidR="00FD1F0A" w:rsidRPr="00E45D61">
        <w:rPr>
          <w:szCs w:val="24"/>
        </w:rPr>
        <w:t xml:space="preserve"> accessible</w:t>
      </w:r>
      <w:r w:rsidR="00B57EE5" w:rsidRPr="00E45D61">
        <w:rPr>
          <w:szCs w:val="24"/>
        </w:rPr>
        <w:t>—</w:t>
      </w:r>
      <w:r w:rsidR="00E45D61" w:rsidRPr="00E45D61">
        <w:rPr>
          <w:szCs w:val="24"/>
        </w:rPr>
        <w:t>they’re</w:t>
      </w:r>
      <w:r w:rsidR="00FD1F0A" w:rsidRPr="00E45D61">
        <w:rPr>
          <w:szCs w:val="24"/>
        </w:rPr>
        <w:t xml:space="preserve"> not</w:t>
      </w:r>
      <w:r w:rsidR="00B57EE5" w:rsidRPr="00E45D61">
        <w:rPr>
          <w:szCs w:val="24"/>
        </w:rPr>
        <w:t>—or whether Defendant</w:t>
      </w:r>
      <w:r w:rsidR="006B317C" w:rsidRPr="00E45D61">
        <w:rPr>
          <w:szCs w:val="24"/>
        </w:rPr>
        <w:t>’</w:t>
      </w:r>
      <w:r w:rsidR="00B57EE5" w:rsidRPr="00E45D61">
        <w:rPr>
          <w:szCs w:val="24"/>
        </w:rPr>
        <w:t xml:space="preserve">s </w:t>
      </w:r>
      <w:r w:rsidR="00E45D61" w:rsidRPr="00E45D61">
        <w:rPr>
          <w:szCs w:val="24"/>
        </w:rPr>
        <w:t>current</w:t>
      </w:r>
      <w:r w:rsidR="001A6338" w:rsidRPr="00E45D61">
        <w:rPr>
          <w:szCs w:val="24"/>
        </w:rPr>
        <w:t xml:space="preserve"> </w:t>
      </w:r>
      <w:r w:rsidR="00B57EE5" w:rsidRPr="00E45D61">
        <w:rPr>
          <w:szCs w:val="24"/>
        </w:rPr>
        <w:t>policies and practices are sufficient—</w:t>
      </w:r>
      <w:r w:rsidR="00B57EE5" w:rsidRPr="002E749D">
        <w:rPr>
          <w:szCs w:val="24"/>
        </w:rPr>
        <w:t>they</w:t>
      </w:r>
      <w:r w:rsidR="006B317C" w:rsidRPr="002E749D">
        <w:rPr>
          <w:szCs w:val="24"/>
        </w:rPr>
        <w:t>’</w:t>
      </w:r>
      <w:r w:rsidR="00B57EE5" w:rsidRPr="002E749D">
        <w:rPr>
          <w:szCs w:val="24"/>
        </w:rPr>
        <w:t xml:space="preserve">re not. </w:t>
      </w:r>
      <w:r w:rsidR="001A6338" w:rsidRPr="002E749D">
        <w:rPr>
          <w:szCs w:val="24"/>
        </w:rPr>
        <w:t xml:space="preserve">Importantly, </w:t>
      </w:r>
      <w:r w:rsidR="00791A21" w:rsidRPr="002E749D">
        <w:rPr>
          <w:szCs w:val="24"/>
        </w:rPr>
        <w:t>while</w:t>
      </w:r>
      <w:r w:rsidR="001A6338" w:rsidRPr="002E749D">
        <w:rPr>
          <w:szCs w:val="24"/>
        </w:rPr>
        <w:t xml:space="preserve"> burdensome discovery would have generated greater fees for </w:t>
      </w:r>
      <w:r w:rsidRPr="002E749D">
        <w:rPr>
          <w:szCs w:val="24"/>
        </w:rPr>
        <w:t xml:space="preserve">Plaintiff’s </w:t>
      </w:r>
      <w:r w:rsidR="00FD1F0A" w:rsidRPr="002E749D">
        <w:rPr>
          <w:szCs w:val="24"/>
        </w:rPr>
        <w:t>c</w:t>
      </w:r>
      <w:r w:rsidR="001A6338" w:rsidRPr="002E749D">
        <w:rPr>
          <w:szCs w:val="24"/>
        </w:rPr>
        <w:t>ounsel, it would not have secured any better relief. A</w:t>
      </w:r>
      <w:r w:rsidR="00791A21" w:rsidRPr="002E749D">
        <w:rPr>
          <w:szCs w:val="24"/>
        </w:rPr>
        <w:t>nd, a</w:t>
      </w:r>
      <w:r w:rsidR="001A6338" w:rsidRPr="002E749D">
        <w:rPr>
          <w:szCs w:val="24"/>
        </w:rPr>
        <w:t xml:space="preserve">s described herein, the </w:t>
      </w:r>
      <w:r w:rsidR="00C7534B" w:rsidRPr="002E749D">
        <w:rPr>
          <w:szCs w:val="24"/>
        </w:rPr>
        <w:t xml:space="preserve">injunctive relief </w:t>
      </w:r>
      <w:r w:rsidRPr="002E749D">
        <w:rPr>
          <w:szCs w:val="24"/>
        </w:rPr>
        <w:t>Plaintiff</w:t>
      </w:r>
      <w:r w:rsidR="00F45A51" w:rsidRPr="002E749D">
        <w:rPr>
          <w:szCs w:val="24"/>
        </w:rPr>
        <w:t xml:space="preserve"> </w:t>
      </w:r>
      <w:r w:rsidR="002469E7" w:rsidRPr="002E749D">
        <w:rPr>
          <w:szCs w:val="24"/>
        </w:rPr>
        <w:t>obtain</w:t>
      </w:r>
      <w:r w:rsidR="00F45A51" w:rsidRPr="002E749D">
        <w:rPr>
          <w:szCs w:val="24"/>
        </w:rPr>
        <w:t xml:space="preserve">ed on behalf of </w:t>
      </w:r>
      <w:r w:rsidR="00B756F1" w:rsidRPr="002E749D">
        <w:rPr>
          <w:szCs w:val="24"/>
        </w:rPr>
        <w:t>himself</w:t>
      </w:r>
      <w:r w:rsidR="00F45A51" w:rsidRPr="002E749D">
        <w:rPr>
          <w:szCs w:val="24"/>
        </w:rPr>
        <w:t xml:space="preserve"> and the </w:t>
      </w:r>
      <w:r w:rsidR="002E749D" w:rsidRPr="002E749D">
        <w:rPr>
          <w:szCs w:val="24"/>
        </w:rPr>
        <w:t>class</w:t>
      </w:r>
      <w:r w:rsidR="00F45A51" w:rsidRPr="002E749D">
        <w:rPr>
          <w:szCs w:val="24"/>
        </w:rPr>
        <w:t xml:space="preserve"> </w:t>
      </w:r>
      <w:r w:rsidR="002E749D" w:rsidRPr="002E749D">
        <w:rPr>
          <w:szCs w:val="24"/>
        </w:rPr>
        <w:t>exceeds or is comparable to the relief</w:t>
      </w:r>
      <w:r w:rsidR="002469E7" w:rsidRPr="002E749D">
        <w:rPr>
          <w:szCs w:val="24"/>
        </w:rPr>
        <w:t xml:space="preserve"> contained in every publicly available settlement resolving digital accessibility claims of which Plaintiff’s counsel are aware, including the </w:t>
      </w:r>
      <w:r w:rsidR="00791A21" w:rsidRPr="002E749D">
        <w:rPr>
          <w:szCs w:val="24"/>
        </w:rPr>
        <w:t>settlement</w:t>
      </w:r>
      <w:r w:rsidR="002469E7" w:rsidRPr="002E749D">
        <w:rPr>
          <w:szCs w:val="24"/>
        </w:rPr>
        <w:t xml:space="preserve">s approved in </w:t>
      </w:r>
      <w:r w:rsidR="002469E7" w:rsidRPr="002E749D">
        <w:rPr>
          <w:i/>
          <w:szCs w:val="24"/>
        </w:rPr>
        <w:t>Eyebobs</w:t>
      </w:r>
      <w:r w:rsidR="002469E7" w:rsidRPr="002E749D">
        <w:rPr>
          <w:iCs/>
          <w:szCs w:val="24"/>
        </w:rPr>
        <w:t xml:space="preserve">, </w:t>
      </w:r>
      <w:r w:rsidR="002469E7" w:rsidRPr="00CA135A">
        <w:rPr>
          <w:i/>
          <w:szCs w:val="24"/>
        </w:rPr>
        <w:t>Charles Tyrwhitt</w:t>
      </w:r>
      <w:r w:rsidR="002469E7" w:rsidRPr="00CA135A">
        <w:rPr>
          <w:iCs/>
          <w:szCs w:val="24"/>
        </w:rPr>
        <w:t xml:space="preserve">, </w:t>
      </w:r>
      <w:r w:rsidR="00791A21" w:rsidRPr="00CA135A">
        <w:rPr>
          <w:i/>
          <w:szCs w:val="24"/>
        </w:rPr>
        <w:t>The Hundreds</w:t>
      </w:r>
      <w:r w:rsidR="00791A21" w:rsidRPr="00CA135A">
        <w:rPr>
          <w:iCs/>
          <w:szCs w:val="24"/>
        </w:rPr>
        <w:t xml:space="preserve">, </w:t>
      </w:r>
      <w:r w:rsidR="002469E7" w:rsidRPr="00CA135A">
        <w:rPr>
          <w:i/>
          <w:szCs w:val="24"/>
        </w:rPr>
        <w:t>Optavia</w:t>
      </w:r>
      <w:r w:rsidR="002469E7" w:rsidRPr="00CA135A">
        <w:rPr>
          <w:iCs/>
          <w:szCs w:val="24"/>
        </w:rPr>
        <w:t xml:space="preserve">, and </w:t>
      </w:r>
      <w:r w:rsidR="002469E7" w:rsidRPr="00CA135A">
        <w:rPr>
          <w:i/>
          <w:szCs w:val="24"/>
        </w:rPr>
        <w:t>Poly-Wood</w:t>
      </w:r>
      <w:r w:rsidR="001A6338" w:rsidRPr="00CA135A">
        <w:rPr>
          <w:iCs/>
          <w:szCs w:val="24"/>
        </w:rPr>
        <w:t>.</w:t>
      </w:r>
    </w:p>
    <w:p w14:paraId="4C97DF35" w14:textId="38A454E5" w:rsidR="00885EB7" w:rsidRPr="00832D5A" w:rsidRDefault="008F37C0" w:rsidP="006C7448">
      <w:pPr>
        <w:pStyle w:val="ListParagraph"/>
        <w:keepNext/>
        <w:widowControl w:val="0"/>
        <w:numPr>
          <w:ilvl w:val="2"/>
          <w:numId w:val="4"/>
        </w:numPr>
        <w:spacing w:after="240"/>
        <w:ind w:left="2880" w:right="720" w:hanging="720"/>
        <w:contextualSpacing w:val="0"/>
        <w:rPr>
          <w:szCs w:val="24"/>
        </w:rPr>
      </w:pPr>
      <w:r w:rsidRPr="00CA135A">
        <w:rPr>
          <w:b/>
          <w:bCs/>
          <w:szCs w:val="24"/>
        </w:rPr>
        <w:t>Plaintiff</w:t>
      </w:r>
      <w:r w:rsidR="00885EB7" w:rsidRPr="00CA135A">
        <w:rPr>
          <w:b/>
          <w:bCs/>
          <w:szCs w:val="24"/>
        </w:rPr>
        <w:t xml:space="preserve"> </w:t>
      </w:r>
      <w:r w:rsidR="0038007D" w:rsidRPr="00CA135A">
        <w:rPr>
          <w:b/>
          <w:bCs/>
          <w:szCs w:val="24"/>
        </w:rPr>
        <w:t xml:space="preserve">And </w:t>
      </w:r>
      <w:r w:rsidRPr="00CA135A">
        <w:rPr>
          <w:b/>
          <w:bCs/>
          <w:szCs w:val="24"/>
        </w:rPr>
        <w:t xml:space="preserve">Plaintiff’s </w:t>
      </w:r>
      <w:r w:rsidR="00885EB7" w:rsidRPr="00CA135A">
        <w:rPr>
          <w:b/>
          <w:bCs/>
          <w:szCs w:val="24"/>
        </w:rPr>
        <w:t xml:space="preserve">Counsel Are Experienced </w:t>
      </w:r>
      <w:r w:rsidR="0038007D" w:rsidRPr="00CA135A">
        <w:rPr>
          <w:b/>
          <w:bCs/>
          <w:szCs w:val="24"/>
        </w:rPr>
        <w:t xml:space="preserve">In </w:t>
      </w:r>
      <w:r w:rsidR="00885EB7" w:rsidRPr="00832D5A">
        <w:rPr>
          <w:b/>
          <w:bCs/>
          <w:szCs w:val="24"/>
        </w:rPr>
        <w:t>Similar Litigation</w:t>
      </w:r>
    </w:p>
    <w:p w14:paraId="31661A7E" w14:textId="0BA9A748" w:rsidR="00FD2409" w:rsidRPr="00832D5A" w:rsidRDefault="00832D5A" w:rsidP="006C7448">
      <w:pPr>
        <w:widowControl w:val="0"/>
        <w:spacing w:line="480" w:lineRule="auto"/>
        <w:ind w:firstLine="720"/>
        <w:jc w:val="both"/>
        <w:rPr>
          <w:iCs/>
          <w:szCs w:val="24"/>
        </w:rPr>
      </w:pPr>
      <w:r w:rsidRPr="00832D5A">
        <w:rPr>
          <w:szCs w:val="24"/>
        </w:rPr>
        <w:t xml:space="preserve">As explained above, </w:t>
      </w:r>
      <w:r w:rsidR="00746814" w:rsidRPr="00832D5A">
        <w:rPr>
          <w:szCs w:val="24"/>
        </w:rPr>
        <w:t>Plaintiff</w:t>
      </w:r>
      <w:r w:rsidR="00FD2409" w:rsidRPr="00832D5A">
        <w:rPr>
          <w:szCs w:val="24"/>
        </w:rPr>
        <w:t xml:space="preserve"> retained experienced and competent counsel who fairly and adequately protected the interests of the </w:t>
      </w:r>
      <w:r w:rsidR="00860882" w:rsidRPr="00832D5A">
        <w:rPr>
          <w:szCs w:val="24"/>
        </w:rPr>
        <w:t>Settlement Class</w:t>
      </w:r>
      <w:r w:rsidR="00FD2409" w:rsidRPr="00832D5A">
        <w:rPr>
          <w:szCs w:val="24"/>
        </w:rPr>
        <w:t xml:space="preserve"> throughout the litigation </w:t>
      </w:r>
      <w:r w:rsidR="00997A8C" w:rsidRPr="00832D5A">
        <w:rPr>
          <w:szCs w:val="24"/>
        </w:rPr>
        <w:t xml:space="preserve">of the case </w:t>
      </w:r>
      <w:r w:rsidR="00FD2409" w:rsidRPr="00832D5A">
        <w:rPr>
          <w:szCs w:val="24"/>
        </w:rPr>
        <w:t>and during the negotiation of the Agreement.</w:t>
      </w:r>
      <w:r w:rsidR="002B0A2F" w:rsidRPr="00832D5A">
        <w:rPr>
          <w:szCs w:val="24"/>
        </w:rPr>
        <w:t xml:space="preserve"> </w:t>
      </w:r>
      <w:r w:rsidR="008F37C0" w:rsidRPr="00832D5A">
        <w:rPr>
          <w:szCs w:val="24"/>
        </w:rPr>
        <w:t xml:space="preserve">Plaintiff’s </w:t>
      </w:r>
      <w:r w:rsidR="00860882" w:rsidRPr="00832D5A">
        <w:rPr>
          <w:szCs w:val="24"/>
        </w:rPr>
        <w:t>c</w:t>
      </w:r>
      <w:r w:rsidR="006353AF" w:rsidRPr="00832D5A">
        <w:rPr>
          <w:szCs w:val="24"/>
        </w:rPr>
        <w:t xml:space="preserve">ounsel have many years of experience </w:t>
      </w:r>
      <w:r w:rsidR="006353AF" w:rsidRPr="009B73A7">
        <w:rPr>
          <w:szCs w:val="24"/>
        </w:rPr>
        <w:t xml:space="preserve">prosecuting class and civil rights litigation, generally, and digital accessibility claims, </w:t>
      </w:r>
      <w:r w:rsidR="00860882" w:rsidRPr="009B73A7">
        <w:rPr>
          <w:szCs w:val="24"/>
        </w:rPr>
        <w:t>in particular</w:t>
      </w:r>
      <w:r w:rsidR="00FD2409" w:rsidRPr="009B73A7">
        <w:rPr>
          <w:iCs/>
          <w:szCs w:val="24"/>
        </w:rPr>
        <w:t xml:space="preserve">. </w:t>
      </w:r>
      <w:r w:rsidR="00F45A51" w:rsidRPr="009B73A7">
        <w:rPr>
          <w:iCs/>
          <w:szCs w:val="24"/>
        </w:rPr>
        <w:t>T</w:t>
      </w:r>
      <w:r w:rsidR="00FD2409" w:rsidRPr="009B73A7">
        <w:rPr>
          <w:iCs/>
          <w:szCs w:val="24"/>
        </w:rPr>
        <w:t xml:space="preserve">here is ample evidence </w:t>
      </w:r>
      <w:r w:rsidRPr="009B73A7">
        <w:rPr>
          <w:iCs/>
          <w:szCs w:val="24"/>
        </w:rPr>
        <w:t xml:space="preserve">that </w:t>
      </w:r>
      <w:r w:rsidR="00997A8C" w:rsidRPr="009B73A7">
        <w:rPr>
          <w:iCs/>
          <w:szCs w:val="24"/>
        </w:rPr>
        <w:t>Plaintiff’s</w:t>
      </w:r>
      <w:r w:rsidR="00FD2409" w:rsidRPr="009B73A7">
        <w:rPr>
          <w:iCs/>
          <w:szCs w:val="24"/>
        </w:rPr>
        <w:t xml:space="preserve"> counsel are </w:t>
      </w:r>
      <w:r w:rsidR="006353AF" w:rsidRPr="009B73A7">
        <w:rPr>
          <w:iCs/>
          <w:szCs w:val="24"/>
        </w:rPr>
        <w:t>sufficiently experienced in similar litigation</w:t>
      </w:r>
      <w:r w:rsidR="00FD2409" w:rsidRPr="009B73A7">
        <w:rPr>
          <w:iCs/>
          <w:szCs w:val="24"/>
        </w:rPr>
        <w:t>.</w:t>
      </w:r>
    </w:p>
    <w:p w14:paraId="775DF25E" w14:textId="0E770E6A" w:rsidR="00885EB7" w:rsidRPr="00B658AF" w:rsidRDefault="00483D6C" w:rsidP="006C7448">
      <w:pPr>
        <w:pStyle w:val="ListParagraph"/>
        <w:keepNext/>
        <w:widowControl w:val="0"/>
        <w:numPr>
          <w:ilvl w:val="2"/>
          <w:numId w:val="4"/>
        </w:numPr>
        <w:spacing w:after="240"/>
        <w:ind w:left="2880" w:right="720" w:hanging="720"/>
        <w:contextualSpacing w:val="0"/>
        <w:rPr>
          <w:szCs w:val="24"/>
        </w:rPr>
      </w:pPr>
      <w:r w:rsidRPr="00B658AF">
        <w:rPr>
          <w:b/>
          <w:bCs/>
          <w:szCs w:val="24"/>
        </w:rPr>
        <w:t>Given The Terms, Plaintiff Anticipates No Object</w:t>
      </w:r>
      <w:r w:rsidR="00EA05D4" w:rsidRPr="00B658AF">
        <w:rPr>
          <w:b/>
          <w:bCs/>
          <w:szCs w:val="24"/>
        </w:rPr>
        <w:t>ions</w:t>
      </w:r>
    </w:p>
    <w:p w14:paraId="2991DC1E" w14:textId="0F067A3F" w:rsidR="00554FD4" w:rsidRPr="00662BD5" w:rsidRDefault="00D348A9" w:rsidP="006C7448">
      <w:pPr>
        <w:widowControl w:val="0"/>
        <w:spacing w:line="480" w:lineRule="auto"/>
        <w:ind w:firstLine="720"/>
        <w:jc w:val="both"/>
        <w:rPr>
          <w:iCs/>
          <w:szCs w:val="24"/>
          <w:highlight w:val="yellow"/>
        </w:rPr>
      </w:pPr>
      <w:r w:rsidRPr="00603FD6">
        <w:rPr>
          <w:iCs/>
          <w:szCs w:val="24"/>
        </w:rPr>
        <w:t xml:space="preserve">Plaintiff does not anticipate objections from Settlement Class Members, given the terms of the </w:t>
      </w:r>
      <w:r w:rsidRPr="002D2996">
        <w:rPr>
          <w:iCs/>
          <w:szCs w:val="24"/>
        </w:rPr>
        <w:t xml:space="preserve">Agreement. </w:t>
      </w:r>
      <w:r w:rsidR="00062091" w:rsidRPr="002D2996">
        <w:rPr>
          <w:iCs/>
          <w:szCs w:val="24"/>
        </w:rPr>
        <w:t xml:space="preserve">The relief </w:t>
      </w:r>
      <w:r w:rsidR="002D2996" w:rsidRPr="002D2996">
        <w:rPr>
          <w:iCs/>
          <w:szCs w:val="24"/>
        </w:rPr>
        <w:t>included</w:t>
      </w:r>
      <w:r w:rsidR="00062091" w:rsidRPr="002D2996">
        <w:rPr>
          <w:iCs/>
          <w:szCs w:val="24"/>
        </w:rPr>
        <w:t xml:space="preserve"> in the Agreement </w:t>
      </w:r>
      <w:r w:rsidR="00603FD6" w:rsidRPr="002D2996">
        <w:rPr>
          <w:iCs/>
          <w:szCs w:val="24"/>
        </w:rPr>
        <w:t xml:space="preserve">exceeds or </w:t>
      </w:r>
      <w:r w:rsidR="00062091" w:rsidRPr="002D2996">
        <w:rPr>
          <w:iCs/>
          <w:szCs w:val="24"/>
        </w:rPr>
        <w:t xml:space="preserve">is </w:t>
      </w:r>
      <w:r w:rsidR="00416336" w:rsidRPr="002D2996">
        <w:rPr>
          <w:iCs/>
          <w:szCs w:val="24"/>
        </w:rPr>
        <w:t>comparable to</w:t>
      </w:r>
      <w:r w:rsidR="00062091" w:rsidRPr="002D2996">
        <w:rPr>
          <w:iCs/>
          <w:szCs w:val="24"/>
        </w:rPr>
        <w:t xml:space="preserve"> </w:t>
      </w:r>
      <w:r w:rsidR="00603FD6" w:rsidRPr="002D2996">
        <w:rPr>
          <w:iCs/>
          <w:szCs w:val="24"/>
        </w:rPr>
        <w:t xml:space="preserve">the relief achieved in </w:t>
      </w:r>
      <w:r w:rsidR="00062091" w:rsidRPr="002D2996">
        <w:rPr>
          <w:iCs/>
          <w:szCs w:val="24"/>
        </w:rPr>
        <w:t xml:space="preserve">every publicly available settlement resolving digital accessibility claims </w:t>
      </w:r>
      <w:r w:rsidR="00F7113C" w:rsidRPr="002D2996">
        <w:rPr>
          <w:iCs/>
          <w:szCs w:val="24"/>
        </w:rPr>
        <w:t>of which</w:t>
      </w:r>
      <w:r w:rsidR="00EB7C8F" w:rsidRPr="002D2996">
        <w:rPr>
          <w:iCs/>
          <w:szCs w:val="24"/>
        </w:rPr>
        <w:t xml:space="preserve"> </w:t>
      </w:r>
      <w:r w:rsidR="008F37C0" w:rsidRPr="002D2996">
        <w:rPr>
          <w:iCs/>
          <w:szCs w:val="24"/>
        </w:rPr>
        <w:t xml:space="preserve">Plaintiff’s </w:t>
      </w:r>
      <w:r w:rsidR="00062091" w:rsidRPr="002D2996">
        <w:rPr>
          <w:iCs/>
          <w:szCs w:val="24"/>
        </w:rPr>
        <w:t xml:space="preserve">counsel </w:t>
      </w:r>
      <w:r w:rsidR="00E11AC2" w:rsidRPr="002D2996">
        <w:rPr>
          <w:iCs/>
          <w:szCs w:val="24"/>
        </w:rPr>
        <w:t>are aware</w:t>
      </w:r>
      <w:r w:rsidR="00B756F1" w:rsidRPr="002D2996">
        <w:rPr>
          <w:iCs/>
          <w:szCs w:val="24"/>
        </w:rPr>
        <w:t xml:space="preserve">, </w:t>
      </w:r>
      <w:r w:rsidR="00EB7C8F" w:rsidRPr="002D2996">
        <w:rPr>
          <w:iCs/>
          <w:szCs w:val="24"/>
        </w:rPr>
        <w:t>including</w:t>
      </w:r>
      <w:r w:rsidR="00B756F1" w:rsidRPr="002D2996">
        <w:rPr>
          <w:iCs/>
          <w:szCs w:val="24"/>
        </w:rPr>
        <w:t xml:space="preserve"> </w:t>
      </w:r>
      <w:r w:rsidR="00F7113C" w:rsidRPr="002D2996">
        <w:rPr>
          <w:iCs/>
          <w:szCs w:val="24"/>
        </w:rPr>
        <w:t>the</w:t>
      </w:r>
      <w:r w:rsidR="00B756F1" w:rsidRPr="002D2996">
        <w:rPr>
          <w:iCs/>
          <w:szCs w:val="24"/>
        </w:rPr>
        <w:t xml:space="preserve"> </w:t>
      </w:r>
      <w:r w:rsidR="008A2594" w:rsidRPr="002D2996">
        <w:rPr>
          <w:iCs/>
          <w:szCs w:val="24"/>
        </w:rPr>
        <w:t xml:space="preserve">settlements </w:t>
      </w:r>
      <w:r w:rsidR="00B756F1" w:rsidRPr="002D2996">
        <w:rPr>
          <w:iCs/>
          <w:szCs w:val="24"/>
        </w:rPr>
        <w:t>approved i</w:t>
      </w:r>
      <w:r w:rsidR="002E7AE9" w:rsidRPr="002D2996">
        <w:rPr>
          <w:iCs/>
          <w:szCs w:val="24"/>
        </w:rPr>
        <w:t xml:space="preserve">n </w:t>
      </w:r>
      <w:r w:rsidR="002E7AE9" w:rsidRPr="002D2996">
        <w:rPr>
          <w:i/>
          <w:szCs w:val="24"/>
        </w:rPr>
        <w:t>Eyebobs</w:t>
      </w:r>
      <w:r w:rsidR="002E7AE9" w:rsidRPr="002D2996">
        <w:rPr>
          <w:iCs/>
          <w:szCs w:val="24"/>
        </w:rPr>
        <w:t xml:space="preserve">, </w:t>
      </w:r>
      <w:r w:rsidR="002E7AE9" w:rsidRPr="002D2996">
        <w:rPr>
          <w:i/>
          <w:szCs w:val="24"/>
        </w:rPr>
        <w:t>Charles Tyrwhitt</w:t>
      </w:r>
      <w:r w:rsidR="002E7AE9" w:rsidRPr="002D2996">
        <w:rPr>
          <w:iCs/>
          <w:szCs w:val="24"/>
        </w:rPr>
        <w:t xml:space="preserve">, </w:t>
      </w:r>
      <w:r w:rsidR="008A2594" w:rsidRPr="002D2996">
        <w:rPr>
          <w:i/>
          <w:szCs w:val="24"/>
        </w:rPr>
        <w:t>The Hundreds</w:t>
      </w:r>
      <w:r w:rsidR="008A2594" w:rsidRPr="002D2996">
        <w:rPr>
          <w:iCs/>
          <w:szCs w:val="24"/>
        </w:rPr>
        <w:t xml:space="preserve">, </w:t>
      </w:r>
      <w:r w:rsidR="002E7AE9" w:rsidRPr="002D2996">
        <w:rPr>
          <w:i/>
          <w:szCs w:val="24"/>
        </w:rPr>
        <w:t>Optavia</w:t>
      </w:r>
      <w:r w:rsidR="002E7AE9" w:rsidRPr="002D2996">
        <w:rPr>
          <w:iCs/>
          <w:szCs w:val="24"/>
        </w:rPr>
        <w:t xml:space="preserve">, and </w:t>
      </w:r>
      <w:r w:rsidR="002E7AE9" w:rsidRPr="002D2996">
        <w:rPr>
          <w:i/>
          <w:szCs w:val="24"/>
        </w:rPr>
        <w:t>Poly</w:t>
      </w:r>
      <w:r w:rsidR="002E7AE9" w:rsidRPr="005931C0">
        <w:rPr>
          <w:i/>
          <w:szCs w:val="24"/>
        </w:rPr>
        <w:t>-Wood</w:t>
      </w:r>
      <w:r w:rsidR="00062091" w:rsidRPr="005931C0">
        <w:rPr>
          <w:iCs/>
          <w:szCs w:val="24"/>
        </w:rPr>
        <w:t xml:space="preserve">. </w:t>
      </w:r>
      <w:r w:rsidR="00062091" w:rsidRPr="005931C0">
        <w:rPr>
          <w:i/>
          <w:szCs w:val="24"/>
        </w:rPr>
        <w:t>See</w:t>
      </w:r>
      <w:r w:rsidR="002E7AE9" w:rsidRPr="005931C0">
        <w:rPr>
          <w:iCs/>
          <w:szCs w:val="24"/>
        </w:rPr>
        <w:t xml:space="preserve"> </w:t>
      </w:r>
      <w:r w:rsidR="003A718E" w:rsidRPr="005931C0">
        <w:rPr>
          <w:i/>
          <w:iCs/>
          <w:szCs w:val="24"/>
        </w:rPr>
        <w:t>Eyebobs</w:t>
      </w:r>
      <w:r w:rsidR="003A718E" w:rsidRPr="005931C0">
        <w:rPr>
          <w:szCs w:val="24"/>
        </w:rPr>
        <w:t xml:space="preserve">, Doc. 49 at Ex. A; </w:t>
      </w:r>
      <w:r w:rsidR="003A718E" w:rsidRPr="005931C0">
        <w:rPr>
          <w:i/>
          <w:iCs/>
          <w:szCs w:val="24"/>
        </w:rPr>
        <w:t>Charles</w:t>
      </w:r>
      <w:r w:rsidR="003A718E" w:rsidRPr="00A47E6D">
        <w:rPr>
          <w:i/>
          <w:iCs/>
          <w:szCs w:val="24"/>
        </w:rPr>
        <w:t xml:space="preserve"> Tyrwhitt</w:t>
      </w:r>
      <w:r w:rsidR="003A718E" w:rsidRPr="00A47E6D">
        <w:rPr>
          <w:szCs w:val="24"/>
        </w:rPr>
        <w:t xml:space="preserve">, Doc. 47-1; </w:t>
      </w:r>
      <w:r w:rsidR="003A718E" w:rsidRPr="00A47E6D">
        <w:rPr>
          <w:i/>
          <w:iCs/>
          <w:szCs w:val="24"/>
        </w:rPr>
        <w:t>The Hundreds</w:t>
      </w:r>
      <w:r w:rsidR="003A718E" w:rsidRPr="00A47E6D">
        <w:rPr>
          <w:szCs w:val="24"/>
        </w:rPr>
        <w:t xml:space="preserve">, Doc. </w:t>
      </w:r>
      <w:r w:rsidR="00DC5A77">
        <w:rPr>
          <w:szCs w:val="24"/>
        </w:rPr>
        <w:t>41</w:t>
      </w:r>
      <w:r w:rsidR="00DD7421">
        <w:rPr>
          <w:szCs w:val="24"/>
        </w:rPr>
        <w:t>, Ex. A</w:t>
      </w:r>
      <w:r w:rsidR="003A718E" w:rsidRPr="00773E2D">
        <w:rPr>
          <w:szCs w:val="24"/>
        </w:rPr>
        <w:t xml:space="preserve">; </w:t>
      </w:r>
      <w:r w:rsidR="003A718E" w:rsidRPr="00773E2D">
        <w:rPr>
          <w:i/>
          <w:iCs/>
          <w:szCs w:val="24"/>
        </w:rPr>
        <w:t>Optavia</w:t>
      </w:r>
      <w:r w:rsidR="003A718E" w:rsidRPr="00773E2D">
        <w:rPr>
          <w:szCs w:val="24"/>
        </w:rPr>
        <w:t xml:space="preserve">, Doc. </w:t>
      </w:r>
      <w:r w:rsidR="003A718E" w:rsidRPr="00EC1CD6">
        <w:rPr>
          <w:szCs w:val="24"/>
        </w:rPr>
        <w:t xml:space="preserve">12-1; </w:t>
      </w:r>
      <w:r w:rsidR="003A718E" w:rsidRPr="00EC1CD6">
        <w:rPr>
          <w:i/>
          <w:iCs/>
          <w:szCs w:val="24"/>
        </w:rPr>
        <w:t>Poly-Wood</w:t>
      </w:r>
      <w:r w:rsidR="003A718E" w:rsidRPr="00EC1CD6">
        <w:rPr>
          <w:szCs w:val="24"/>
        </w:rPr>
        <w:t xml:space="preserve">, Doc. </w:t>
      </w:r>
      <w:r w:rsidR="00E140EF">
        <w:rPr>
          <w:szCs w:val="24"/>
        </w:rPr>
        <w:t>45</w:t>
      </w:r>
      <w:r w:rsidR="003A718E" w:rsidRPr="009A7406">
        <w:rPr>
          <w:szCs w:val="24"/>
        </w:rPr>
        <w:t xml:space="preserve">; </w:t>
      </w:r>
      <w:r w:rsidR="00062091" w:rsidRPr="0078404B">
        <w:rPr>
          <w:iCs/>
          <w:szCs w:val="24"/>
        </w:rPr>
        <w:t>Settlement Agreement Between the United States of America and Ahold U.S.A., Inc. and Peapod, LLC, DJ 202-63-169</w:t>
      </w:r>
      <w:r w:rsidR="00EC1CD6" w:rsidRPr="0078404B">
        <w:rPr>
          <w:iCs/>
          <w:szCs w:val="24"/>
        </w:rPr>
        <w:t xml:space="preserve">, §§ 12-13, 16-18, 20, </w:t>
      </w:r>
      <w:proofErr w:type="spellStart"/>
      <w:r w:rsidR="00EC1CD6" w:rsidRPr="0078404B">
        <w:rPr>
          <w:iCs/>
          <w:szCs w:val="24"/>
        </w:rPr>
        <w:t>Exs</w:t>
      </w:r>
      <w:proofErr w:type="spellEnd"/>
      <w:r w:rsidR="00EC1CD6" w:rsidRPr="0078404B">
        <w:rPr>
          <w:iCs/>
          <w:szCs w:val="24"/>
        </w:rPr>
        <w:t>. A-B</w:t>
      </w:r>
      <w:r w:rsidR="00062091" w:rsidRPr="0078404B">
        <w:rPr>
          <w:iCs/>
          <w:szCs w:val="24"/>
        </w:rPr>
        <w:t xml:space="preserve"> (Nov. 17, 2014), </w:t>
      </w:r>
      <w:hyperlink r:id="rId21" w:history="1">
        <w:r w:rsidR="00CA46C0" w:rsidRPr="003B2E03">
          <w:rPr>
            <w:rStyle w:val="Hyperlink"/>
            <w:iCs/>
            <w:szCs w:val="24"/>
          </w:rPr>
          <w:t>https://www.justice.gov/file/</w:t>
        </w:r>
        <w:r w:rsidR="00CA46C0" w:rsidRPr="003B2E03">
          <w:rPr>
            <w:rStyle w:val="Hyperlink"/>
            <w:iCs/>
            <w:szCs w:val="24"/>
          </w:rPr>
          <w:br/>
        </w:r>
        <w:r w:rsidR="00CA46C0" w:rsidRPr="003B2E03">
          <w:rPr>
            <w:rStyle w:val="Hyperlink"/>
            <w:iCs/>
            <w:szCs w:val="24"/>
          </w:rPr>
          <w:lastRenderedPageBreak/>
          <w:t>163956/download</w:t>
        </w:r>
      </w:hyperlink>
      <w:r w:rsidR="00062091" w:rsidRPr="0078404B">
        <w:rPr>
          <w:iCs/>
          <w:szCs w:val="24"/>
        </w:rPr>
        <w:t xml:space="preserve">; </w:t>
      </w:r>
      <w:r w:rsidR="00F7113C" w:rsidRPr="0078404B">
        <w:rPr>
          <w:iCs/>
          <w:szCs w:val="24"/>
        </w:rPr>
        <w:t>Settlement Between</w:t>
      </w:r>
      <w:r w:rsidR="000B04F0" w:rsidRPr="0078404B">
        <w:rPr>
          <w:iCs/>
          <w:szCs w:val="24"/>
        </w:rPr>
        <w:t xml:space="preserve"> </w:t>
      </w:r>
      <w:r w:rsidR="00F7113C" w:rsidRPr="0078404B">
        <w:rPr>
          <w:iCs/>
          <w:szCs w:val="24"/>
        </w:rPr>
        <w:t xml:space="preserve">Penn State University and National Federation of the Blind, </w:t>
      </w:r>
      <w:r w:rsidR="009A7406" w:rsidRPr="0078404B">
        <w:rPr>
          <w:iCs/>
          <w:szCs w:val="24"/>
        </w:rPr>
        <w:t>OCR</w:t>
      </w:r>
      <w:r w:rsidR="00F7113C" w:rsidRPr="0078404B">
        <w:rPr>
          <w:iCs/>
          <w:szCs w:val="24"/>
        </w:rPr>
        <w:t xml:space="preserve"> 03-11-2020,</w:t>
      </w:r>
      <w:r w:rsidR="009A7406" w:rsidRPr="0078404B">
        <w:rPr>
          <w:iCs/>
          <w:szCs w:val="24"/>
        </w:rPr>
        <w:t xml:space="preserve"> §§ III-V,</w:t>
      </w:r>
      <w:r w:rsidR="00F7113C" w:rsidRPr="0078404B">
        <w:rPr>
          <w:iCs/>
          <w:szCs w:val="24"/>
        </w:rPr>
        <w:t xml:space="preserve"> </w:t>
      </w:r>
      <w:hyperlink r:id="rId22" w:history="1">
        <w:r w:rsidR="00F7113C" w:rsidRPr="0078404B">
          <w:rPr>
            <w:rStyle w:val="Hyperlink"/>
            <w:iCs/>
            <w:szCs w:val="24"/>
          </w:rPr>
          <w:t>https://accessibility.psu.edu/nfbpsusettlement/</w:t>
        </w:r>
      </w:hyperlink>
      <w:r w:rsidR="00F7113C" w:rsidRPr="0078404B">
        <w:rPr>
          <w:iCs/>
          <w:szCs w:val="24"/>
        </w:rPr>
        <w:t xml:space="preserve"> (last accessed </w:t>
      </w:r>
      <w:r w:rsidR="009A7406" w:rsidRPr="0078404B">
        <w:rPr>
          <w:iCs/>
          <w:szCs w:val="24"/>
        </w:rPr>
        <w:t>Oct</w:t>
      </w:r>
      <w:r w:rsidR="00764AC3" w:rsidRPr="0078404B">
        <w:rPr>
          <w:iCs/>
          <w:szCs w:val="24"/>
        </w:rPr>
        <w:t>.</w:t>
      </w:r>
      <w:r w:rsidR="00F7113C" w:rsidRPr="0078404B">
        <w:rPr>
          <w:iCs/>
          <w:szCs w:val="24"/>
        </w:rPr>
        <w:t xml:space="preserve"> </w:t>
      </w:r>
      <w:r w:rsidR="009A7406" w:rsidRPr="0078404B">
        <w:rPr>
          <w:iCs/>
          <w:szCs w:val="24"/>
        </w:rPr>
        <w:t>17</w:t>
      </w:r>
      <w:r w:rsidR="00F7113C" w:rsidRPr="0078404B">
        <w:rPr>
          <w:iCs/>
          <w:szCs w:val="24"/>
        </w:rPr>
        <w:t>, 2022)</w:t>
      </w:r>
      <w:r w:rsidR="00BD5031" w:rsidRPr="0078404B">
        <w:rPr>
          <w:iCs/>
          <w:szCs w:val="24"/>
        </w:rPr>
        <w:t xml:space="preserve">; Youngstown State University Resolution Agreement, </w:t>
      </w:r>
      <w:r w:rsidR="009A7406" w:rsidRPr="0078404B">
        <w:rPr>
          <w:iCs/>
          <w:szCs w:val="24"/>
        </w:rPr>
        <w:t>OCR</w:t>
      </w:r>
      <w:r w:rsidR="009C33EE" w:rsidRPr="0078404B">
        <w:rPr>
          <w:iCs/>
          <w:szCs w:val="24"/>
        </w:rPr>
        <w:t xml:space="preserve"> </w:t>
      </w:r>
      <w:r w:rsidR="00BD5031" w:rsidRPr="0078404B">
        <w:rPr>
          <w:iCs/>
          <w:szCs w:val="24"/>
        </w:rPr>
        <w:t>15-13-6002 (Nov. 25, 2014),</w:t>
      </w:r>
      <w:r w:rsidR="00CA46C0">
        <w:rPr>
          <w:iCs/>
          <w:szCs w:val="24"/>
        </w:rPr>
        <w:t xml:space="preserve"> </w:t>
      </w:r>
      <w:hyperlink r:id="rId23" w:history="1">
        <w:r w:rsidR="00CA46C0" w:rsidRPr="003B2E03">
          <w:rPr>
            <w:rStyle w:val="Hyperlink"/>
            <w:szCs w:val="24"/>
          </w:rPr>
          <w:t>https://www2.ed.gov/documents/press-releases/youngstown-state-university-agreement.</w:t>
        </w:r>
        <w:r w:rsidR="00CA46C0" w:rsidRPr="003B2E03">
          <w:rPr>
            <w:rStyle w:val="Hyperlink"/>
            <w:szCs w:val="24"/>
          </w:rPr>
          <w:br/>
          <w:t>pdf</w:t>
        </w:r>
      </w:hyperlink>
      <w:r w:rsidR="00554FD4" w:rsidRPr="0078404B">
        <w:rPr>
          <w:iCs/>
          <w:szCs w:val="24"/>
        </w:rPr>
        <w:t xml:space="preserve">. </w:t>
      </w:r>
      <w:r w:rsidR="00F157EA" w:rsidRPr="0078404B">
        <w:rPr>
          <w:iCs/>
          <w:szCs w:val="24"/>
        </w:rPr>
        <w:t xml:space="preserve">This is unsurprising, as the parties looked to </w:t>
      </w:r>
      <w:r w:rsidR="00411D18" w:rsidRPr="0078404B">
        <w:rPr>
          <w:iCs/>
          <w:szCs w:val="24"/>
        </w:rPr>
        <w:t>the aforementioned agreements as their model for resolution of this case</w:t>
      </w:r>
      <w:r w:rsidR="00F157EA" w:rsidRPr="0078404B">
        <w:rPr>
          <w:iCs/>
          <w:szCs w:val="24"/>
        </w:rPr>
        <w:t xml:space="preserve">. </w:t>
      </w:r>
      <w:r w:rsidR="00724F23">
        <w:rPr>
          <w:szCs w:val="24"/>
        </w:rPr>
        <w:t>As a result</w:t>
      </w:r>
      <w:r w:rsidR="006129BD" w:rsidRPr="0078404B">
        <w:rPr>
          <w:szCs w:val="24"/>
        </w:rPr>
        <w:t xml:space="preserve">, </w:t>
      </w:r>
      <w:bookmarkStart w:id="10" w:name="_Hlk114759249"/>
      <w:r w:rsidR="006129BD" w:rsidRPr="0078404B">
        <w:rPr>
          <w:szCs w:val="24"/>
        </w:rPr>
        <w:t>Plaintiff does not anticipate any objectors</w:t>
      </w:r>
      <w:bookmarkEnd w:id="10"/>
      <w:r w:rsidR="00411D18" w:rsidRPr="0078404B">
        <w:rPr>
          <w:szCs w:val="24"/>
        </w:rPr>
        <w:t xml:space="preserve"> to the Agreement</w:t>
      </w:r>
      <w:r w:rsidR="00554FD4" w:rsidRPr="0078404B">
        <w:rPr>
          <w:szCs w:val="24"/>
        </w:rPr>
        <w:t>.</w:t>
      </w:r>
    </w:p>
    <w:p w14:paraId="3E9E5253" w14:textId="450C532D" w:rsidR="00533180" w:rsidRPr="00D97D38" w:rsidRDefault="00554FD4" w:rsidP="006C7448">
      <w:pPr>
        <w:pStyle w:val="ListParagraph"/>
        <w:keepNext/>
        <w:widowControl w:val="0"/>
        <w:numPr>
          <w:ilvl w:val="1"/>
          <w:numId w:val="4"/>
        </w:numPr>
        <w:spacing w:after="240"/>
        <w:ind w:right="720" w:hanging="720"/>
        <w:contextualSpacing w:val="0"/>
        <w:rPr>
          <w:b/>
          <w:bCs/>
          <w:szCs w:val="24"/>
        </w:rPr>
      </w:pPr>
      <w:r w:rsidRPr="00D97D38">
        <w:rPr>
          <w:b/>
          <w:bCs/>
          <w:szCs w:val="24"/>
        </w:rPr>
        <w:t xml:space="preserve">The </w:t>
      </w:r>
      <w:r w:rsidRPr="00D97D38">
        <w:rPr>
          <w:b/>
          <w:bCs/>
          <w:i/>
          <w:iCs/>
          <w:szCs w:val="24"/>
        </w:rPr>
        <w:t>Girsh</w:t>
      </w:r>
      <w:r w:rsidRPr="00D97D38">
        <w:rPr>
          <w:b/>
          <w:bCs/>
          <w:szCs w:val="24"/>
        </w:rPr>
        <w:t xml:space="preserve"> </w:t>
      </w:r>
      <w:r w:rsidR="0038007D" w:rsidRPr="00D97D38">
        <w:rPr>
          <w:b/>
          <w:bCs/>
          <w:szCs w:val="24"/>
        </w:rPr>
        <w:t xml:space="preserve">And </w:t>
      </w:r>
      <w:r w:rsidRPr="00D97D38">
        <w:rPr>
          <w:b/>
          <w:bCs/>
          <w:i/>
          <w:iCs/>
          <w:szCs w:val="24"/>
        </w:rPr>
        <w:t>Prudential</w:t>
      </w:r>
      <w:r w:rsidRPr="00D97D38">
        <w:rPr>
          <w:b/>
          <w:bCs/>
          <w:szCs w:val="24"/>
        </w:rPr>
        <w:t xml:space="preserve"> Factors </w:t>
      </w:r>
      <w:r w:rsidR="00803BC2" w:rsidRPr="00D97D38">
        <w:rPr>
          <w:b/>
          <w:bCs/>
          <w:szCs w:val="24"/>
        </w:rPr>
        <w:t xml:space="preserve">Favor </w:t>
      </w:r>
      <w:r w:rsidR="0008239A" w:rsidRPr="00D97D38">
        <w:rPr>
          <w:b/>
          <w:bCs/>
          <w:szCs w:val="24"/>
        </w:rPr>
        <w:t>Preliminary</w:t>
      </w:r>
      <w:r w:rsidR="00803BC2" w:rsidRPr="00D97D38">
        <w:rPr>
          <w:b/>
          <w:bCs/>
          <w:szCs w:val="24"/>
        </w:rPr>
        <w:t xml:space="preserve"> Approval</w:t>
      </w:r>
    </w:p>
    <w:p w14:paraId="79B425D1" w14:textId="3DAA0E2A" w:rsidR="009C0015" w:rsidRPr="002C003C" w:rsidRDefault="009C0015" w:rsidP="006C7448">
      <w:pPr>
        <w:widowControl w:val="0"/>
        <w:spacing w:line="480" w:lineRule="auto"/>
        <w:ind w:firstLine="720"/>
        <w:jc w:val="both"/>
        <w:rPr>
          <w:szCs w:val="24"/>
        </w:rPr>
      </w:pPr>
      <w:r w:rsidRPr="002C003C">
        <w:rPr>
          <w:szCs w:val="24"/>
        </w:rPr>
        <w:t xml:space="preserve">In </w:t>
      </w:r>
      <w:r w:rsidRPr="002C003C">
        <w:rPr>
          <w:i/>
          <w:iCs/>
          <w:szCs w:val="24"/>
        </w:rPr>
        <w:t>Girsh v. Jepson</w:t>
      </w:r>
      <w:r w:rsidRPr="002C003C">
        <w:rPr>
          <w:szCs w:val="24"/>
        </w:rPr>
        <w:t xml:space="preserve">, the Third Circuit </w:t>
      </w:r>
      <w:r w:rsidR="00A402EC" w:rsidRPr="002C003C">
        <w:rPr>
          <w:szCs w:val="24"/>
        </w:rPr>
        <w:t>suppli</w:t>
      </w:r>
      <w:r w:rsidR="00A940F1" w:rsidRPr="002C003C">
        <w:rPr>
          <w:szCs w:val="24"/>
        </w:rPr>
        <w:t>e</w:t>
      </w:r>
      <w:r w:rsidR="00A402EC" w:rsidRPr="002C003C">
        <w:rPr>
          <w:szCs w:val="24"/>
        </w:rPr>
        <w:t>d</w:t>
      </w:r>
      <w:r w:rsidRPr="002C003C">
        <w:rPr>
          <w:szCs w:val="24"/>
        </w:rPr>
        <w:t xml:space="preserve"> nine factors to be considered when </w:t>
      </w:r>
      <w:r w:rsidR="00205589" w:rsidRPr="002C003C">
        <w:rPr>
          <w:szCs w:val="24"/>
        </w:rPr>
        <w:t>assessing</w:t>
      </w:r>
      <w:r w:rsidRPr="002C003C">
        <w:rPr>
          <w:szCs w:val="24"/>
        </w:rPr>
        <w:t xml:space="preserve"> the fairness of a </w:t>
      </w:r>
      <w:r w:rsidR="002C003C" w:rsidRPr="002C003C">
        <w:rPr>
          <w:szCs w:val="24"/>
        </w:rPr>
        <w:t xml:space="preserve">proposed </w:t>
      </w:r>
      <w:r w:rsidR="00205589" w:rsidRPr="002C003C">
        <w:rPr>
          <w:szCs w:val="24"/>
        </w:rPr>
        <w:t xml:space="preserve">class </w:t>
      </w:r>
      <w:r w:rsidRPr="002C003C">
        <w:rPr>
          <w:szCs w:val="24"/>
        </w:rPr>
        <w:t>settlement:</w:t>
      </w:r>
    </w:p>
    <w:p w14:paraId="368141AA" w14:textId="610226EF" w:rsidR="009C0015" w:rsidRPr="00020317" w:rsidRDefault="009C0015" w:rsidP="006C7448">
      <w:pPr>
        <w:widowControl w:val="0"/>
        <w:spacing w:after="240" w:line="276" w:lineRule="auto"/>
        <w:ind w:left="720" w:right="720"/>
        <w:jc w:val="both"/>
        <w:rPr>
          <w:szCs w:val="24"/>
        </w:rPr>
      </w:pPr>
      <w:r w:rsidRPr="00020317">
        <w:rPr>
          <w:szCs w:val="24"/>
        </w:rPr>
        <w:t>(1) the complexity, expense and likely duration of the litigation</w:t>
      </w:r>
      <w:r w:rsidR="00520C04" w:rsidRPr="00020317">
        <w:rPr>
          <w:szCs w:val="24"/>
        </w:rPr>
        <w:t>[</w:t>
      </w:r>
      <w:r w:rsidRPr="00020317">
        <w:rPr>
          <w:szCs w:val="24"/>
        </w:rPr>
        <w:t>;</w:t>
      </w:r>
      <w:r w:rsidR="00520C04" w:rsidRPr="00020317">
        <w:rPr>
          <w:szCs w:val="24"/>
        </w:rPr>
        <w:t>]</w:t>
      </w:r>
      <w:r w:rsidRPr="00020317">
        <w:rPr>
          <w:szCs w:val="24"/>
        </w:rPr>
        <w:t xml:space="preserve"> (2) the reaction of the class to the settlement</w:t>
      </w:r>
      <w:r w:rsidR="00520C04" w:rsidRPr="00020317">
        <w:rPr>
          <w:szCs w:val="24"/>
        </w:rPr>
        <w:t>[</w:t>
      </w:r>
      <w:r w:rsidRPr="00020317">
        <w:rPr>
          <w:szCs w:val="24"/>
        </w:rPr>
        <w:t>;</w:t>
      </w:r>
      <w:r w:rsidR="00520C04" w:rsidRPr="00020317">
        <w:rPr>
          <w:szCs w:val="24"/>
        </w:rPr>
        <w:t>]</w:t>
      </w:r>
      <w:r w:rsidRPr="00020317">
        <w:rPr>
          <w:szCs w:val="24"/>
        </w:rPr>
        <w:t xml:space="preserve"> (3) the stage of the proceedings and the amount  of discovery completed</w:t>
      </w:r>
      <w:r w:rsidR="00520C04" w:rsidRPr="00020317">
        <w:rPr>
          <w:szCs w:val="24"/>
        </w:rPr>
        <w:t>[</w:t>
      </w:r>
      <w:r w:rsidRPr="00020317">
        <w:rPr>
          <w:szCs w:val="24"/>
        </w:rPr>
        <w:t>;</w:t>
      </w:r>
      <w:r w:rsidR="00520C04" w:rsidRPr="00020317">
        <w:rPr>
          <w:szCs w:val="24"/>
        </w:rPr>
        <w:t>]</w:t>
      </w:r>
      <w:r w:rsidRPr="00020317">
        <w:rPr>
          <w:szCs w:val="24"/>
        </w:rPr>
        <w:t xml:space="preserve"> (4) the risks of establishing liability</w:t>
      </w:r>
      <w:r w:rsidR="00520C04" w:rsidRPr="00020317">
        <w:rPr>
          <w:szCs w:val="24"/>
        </w:rPr>
        <w:t>[</w:t>
      </w:r>
      <w:r w:rsidRPr="00020317">
        <w:rPr>
          <w:szCs w:val="24"/>
        </w:rPr>
        <w:t>;</w:t>
      </w:r>
      <w:r w:rsidR="00520C04" w:rsidRPr="00020317">
        <w:rPr>
          <w:szCs w:val="24"/>
        </w:rPr>
        <w:t>]</w:t>
      </w:r>
      <w:r w:rsidRPr="00020317">
        <w:rPr>
          <w:szCs w:val="24"/>
        </w:rPr>
        <w:t xml:space="preserve"> (5) the risks of establishing damages</w:t>
      </w:r>
      <w:r w:rsidR="00520C04" w:rsidRPr="00020317">
        <w:rPr>
          <w:szCs w:val="24"/>
        </w:rPr>
        <w:t>[</w:t>
      </w:r>
      <w:r w:rsidRPr="00020317">
        <w:rPr>
          <w:szCs w:val="24"/>
        </w:rPr>
        <w:t>;</w:t>
      </w:r>
      <w:r w:rsidR="00520C04" w:rsidRPr="00020317">
        <w:rPr>
          <w:szCs w:val="24"/>
        </w:rPr>
        <w:t>]</w:t>
      </w:r>
      <w:r w:rsidRPr="00020317">
        <w:rPr>
          <w:szCs w:val="24"/>
        </w:rPr>
        <w:t xml:space="preserve"> (6) the risks of maintaining the class action through the trial</w:t>
      </w:r>
      <w:r w:rsidR="00520C04" w:rsidRPr="00020317">
        <w:rPr>
          <w:szCs w:val="24"/>
        </w:rPr>
        <w:t>[</w:t>
      </w:r>
      <w:r w:rsidRPr="00020317">
        <w:rPr>
          <w:szCs w:val="24"/>
        </w:rPr>
        <w:t>;</w:t>
      </w:r>
      <w:r w:rsidR="00520C04" w:rsidRPr="00020317">
        <w:rPr>
          <w:szCs w:val="24"/>
        </w:rPr>
        <w:t>]</w:t>
      </w:r>
      <w:r w:rsidRPr="00020317">
        <w:rPr>
          <w:szCs w:val="24"/>
        </w:rPr>
        <w:t xml:space="preserve"> (7) the ability of the defendants to withstand a greater judgment; (8) the range of reasonableness of the settlement fund in light of the best possible recovery</w:t>
      </w:r>
      <w:r w:rsidR="00520C04" w:rsidRPr="00020317">
        <w:rPr>
          <w:szCs w:val="24"/>
        </w:rPr>
        <w:t>[</w:t>
      </w:r>
      <w:r w:rsidRPr="00020317">
        <w:rPr>
          <w:szCs w:val="24"/>
        </w:rPr>
        <w:t>;</w:t>
      </w:r>
      <w:r w:rsidR="00520C04" w:rsidRPr="00020317">
        <w:rPr>
          <w:szCs w:val="24"/>
        </w:rPr>
        <w:t>]</w:t>
      </w:r>
      <w:r w:rsidRPr="00020317">
        <w:rPr>
          <w:szCs w:val="24"/>
        </w:rPr>
        <w:t xml:space="preserve"> </w:t>
      </w:r>
      <w:r w:rsidR="00520C04" w:rsidRPr="00020317">
        <w:rPr>
          <w:szCs w:val="24"/>
        </w:rPr>
        <w:t>[</w:t>
      </w:r>
      <w:r w:rsidRPr="00020317">
        <w:rPr>
          <w:szCs w:val="24"/>
        </w:rPr>
        <w:t>and</w:t>
      </w:r>
      <w:r w:rsidR="00520C04" w:rsidRPr="00020317">
        <w:rPr>
          <w:szCs w:val="24"/>
        </w:rPr>
        <w:t>]</w:t>
      </w:r>
      <w:r w:rsidRPr="00020317">
        <w:rPr>
          <w:szCs w:val="24"/>
        </w:rPr>
        <w:t xml:space="preserve"> (9) the range of reasonableness of the settlement fund to a possible recovery in light of all the attendant risks of litigation.</w:t>
      </w:r>
    </w:p>
    <w:p w14:paraId="42487DB0" w14:textId="5E8AD919" w:rsidR="009C0015" w:rsidRPr="00A42C80" w:rsidRDefault="009C0015" w:rsidP="006C7448">
      <w:pPr>
        <w:widowControl w:val="0"/>
        <w:spacing w:line="480" w:lineRule="auto"/>
        <w:jc w:val="both"/>
        <w:rPr>
          <w:szCs w:val="24"/>
        </w:rPr>
      </w:pPr>
      <w:r w:rsidRPr="00A42C80">
        <w:rPr>
          <w:szCs w:val="24"/>
        </w:rPr>
        <w:t>521 F.2d 153, 15</w:t>
      </w:r>
      <w:r w:rsidR="00F96D2E" w:rsidRPr="00A42C80">
        <w:rPr>
          <w:szCs w:val="24"/>
        </w:rPr>
        <w:t>6-5</w:t>
      </w:r>
      <w:r w:rsidRPr="00A42C80">
        <w:rPr>
          <w:szCs w:val="24"/>
        </w:rPr>
        <w:t xml:space="preserve">7 (3d Cir. 1975). </w:t>
      </w:r>
      <w:r w:rsidR="00800945" w:rsidRPr="00A42C80">
        <w:rPr>
          <w:szCs w:val="24"/>
        </w:rPr>
        <w:t>The settling parties must prove</w:t>
      </w:r>
      <w:r w:rsidRPr="00A42C80">
        <w:rPr>
          <w:szCs w:val="24"/>
        </w:rPr>
        <w:t xml:space="preserve"> </w:t>
      </w:r>
      <w:r w:rsidR="00800945" w:rsidRPr="00A42C80">
        <w:rPr>
          <w:szCs w:val="24"/>
        </w:rPr>
        <w:t>that “</w:t>
      </w:r>
      <w:r w:rsidRPr="00A42C80">
        <w:rPr>
          <w:szCs w:val="24"/>
        </w:rPr>
        <w:t xml:space="preserve">the </w:t>
      </w:r>
      <w:r w:rsidRPr="00A42C80">
        <w:rPr>
          <w:i/>
          <w:iCs/>
          <w:szCs w:val="24"/>
        </w:rPr>
        <w:t>Girsh</w:t>
      </w:r>
      <w:r w:rsidRPr="00A42C80">
        <w:rPr>
          <w:szCs w:val="24"/>
        </w:rPr>
        <w:t xml:space="preserve"> factors weigh in favor of approval</w:t>
      </w:r>
      <w:r w:rsidR="00091A24" w:rsidRPr="00A42C80">
        <w:rPr>
          <w:szCs w:val="24"/>
        </w:rPr>
        <w:t xml:space="preserve"> of the settlement.</w:t>
      </w:r>
      <w:r w:rsidR="006B317C" w:rsidRPr="00A42C80">
        <w:rPr>
          <w:szCs w:val="24"/>
        </w:rPr>
        <w:t>”</w:t>
      </w:r>
      <w:r w:rsidRPr="00A42C80">
        <w:rPr>
          <w:szCs w:val="24"/>
        </w:rPr>
        <w:t xml:space="preserve"> </w:t>
      </w:r>
      <w:r w:rsidRPr="00A42C80">
        <w:rPr>
          <w:i/>
          <w:iCs/>
          <w:szCs w:val="24"/>
        </w:rPr>
        <w:t>In re Pet Food Prods.</w:t>
      </w:r>
      <w:r w:rsidR="00F85A5A" w:rsidRPr="00A42C80">
        <w:rPr>
          <w:i/>
          <w:iCs/>
          <w:szCs w:val="24"/>
        </w:rPr>
        <w:t xml:space="preserve"> Liability Litig.</w:t>
      </w:r>
      <w:r w:rsidRPr="00A42C80">
        <w:rPr>
          <w:szCs w:val="24"/>
        </w:rPr>
        <w:t xml:space="preserve">, 629 F.3d </w:t>
      </w:r>
      <w:r w:rsidR="00FF05E7" w:rsidRPr="00A42C80">
        <w:rPr>
          <w:szCs w:val="24"/>
        </w:rPr>
        <w:t xml:space="preserve">333, </w:t>
      </w:r>
      <w:r w:rsidRPr="00A42C80">
        <w:rPr>
          <w:szCs w:val="24"/>
        </w:rPr>
        <w:t>350</w:t>
      </w:r>
      <w:r w:rsidR="00FF05E7" w:rsidRPr="00A42C80">
        <w:rPr>
          <w:szCs w:val="24"/>
        </w:rPr>
        <w:t xml:space="preserve"> (3d Cir. 2010)</w:t>
      </w:r>
      <w:r w:rsidRPr="00A42C80">
        <w:rPr>
          <w:szCs w:val="24"/>
        </w:rPr>
        <w:t xml:space="preserve">. </w:t>
      </w:r>
      <w:r w:rsidR="006B317C" w:rsidRPr="00A42C80">
        <w:rPr>
          <w:szCs w:val="24"/>
        </w:rPr>
        <w:t>“</w:t>
      </w:r>
      <w:r w:rsidRPr="00A42C80">
        <w:rPr>
          <w:szCs w:val="24"/>
        </w:rPr>
        <w:t>A district court</w:t>
      </w:r>
      <w:r w:rsidR="006B317C" w:rsidRPr="00A42C80">
        <w:rPr>
          <w:szCs w:val="24"/>
        </w:rPr>
        <w:t>’</w:t>
      </w:r>
      <w:r w:rsidRPr="00A42C80">
        <w:rPr>
          <w:szCs w:val="24"/>
        </w:rPr>
        <w:t xml:space="preserve">s findings under the </w:t>
      </w:r>
      <w:r w:rsidRPr="00A42C80">
        <w:rPr>
          <w:i/>
          <w:iCs/>
          <w:szCs w:val="24"/>
        </w:rPr>
        <w:t>Girsh</w:t>
      </w:r>
      <w:r w:rsidRPr="00A42C80">
        <w:rPr>
          <w:szCs w:val="24"/>
        </w:rPr>
        <w:t xml:space="preserve"> test are those of fact. Unless clearly erroneous, they are upheld.</w:t>
      </w:r>
      <w:r w:rsidR="006B317C" w:rsidRPr="00A42C80">
        <w:rPr>
          <w:szCs w:val="24"/>
        </w:rPr>
        <w:t>”</w:t>
      </w:r>
      <w:r w:rsidRPr="00A42C80">
        <w:rPr>
          <w:szCs w:val="24"/>
        </w:rPr>
        <w:t xml:space="preserve"> </w:t>
      </w:r>
      <w:r w:rsidRPr="00A42C80">
        <w:rPr>
          <w:i/>
          <w:iCs/>
          <w:szCs w:val="24"/>
        </w:rPr>
        <w:t>In re NFL Players Concussion Injury Litig</w:t>
      </w:r>
      <w:r w:rsidRPr="00A42C80">
        <w:rPr>
          <w:szCs w:val="24"/>
        </w:rPr>
        <w:t>., 821 F.3d at 437.</w:t>
      </w:r>
    </w:p>
    <w:p w14:paraId="6F40FCBB" w14:textId="04A73480" w:rsidR="009C0015" w:rsidRPr="00AB0A37" w:rsidRDefault="009C0015" w:rsidP="006C7448">
      <w:pPr>
        <w:widowControl w:val="0"/>
        <w:spacing w:line="480" w:lineRule="auto"/>
        <w:ind w:firstLine="720"/>
        <w:jc w:val="both"/>
        <w:rPr>
          <w:szCs w:val="24"/>
        </w:rPr>
      </w:pPr>
      <w:r w:rsidRPr="00AB0A37">
        <w:rPr>
          <w:szCs w:val="24"/>
        </w:rPr>
        <w:t>Later, in</w:t>
      </w:r>
      <w:r w:rsidRPr="00AB0A37">
        <w:rPr>
          <w:i/>
          <w:iCs/>
          <w:szCs w:val="24"/>
        </w:rPr>
        <w:t xml:space="preserve"> Prudential</w:t>
      </w:r>
      <w:r w:rsidRPr="00AB0A37">
        <w:rPr>
          <w:szCs w:val="24"/>
        </w:rPr>
        <w:t>, the Third Circuit held that</w:t>
      </w:r>
      <w:r w:rsidR="00A402EC" w:rsidRPr="00AB0A37">
        <w:rPr>
          <w:szCs w:val="24"/>
        </w:rPr>
        <w:t>,</w:t>
      </w:r>
      <w:r w:rsidRPr="00AB0A37">
        <w:rPr>
          <w:szCs w:val="24"/>
        </w:rPr>
        <w:t xml:space="preserve"> because of </w:t>
      </w:r>
      <w:r w:rsidR="009421B6" w:rsidRPr="00AB0A37">
        <w:rPr>
          <w:szCs w:val="24"/>
        </w:rPr>
        <w:t>“</w:t>
      </w:r>
      <w:r w:rsidRPr="00AB0A37">
        <w:rPr>
          <w:szCs w:val="24"/>
        </w:rPr>
        <w:t>a sea-change in the nature of class actions,</w:t>
      </w:r>
      <w:r w:rsidR="006B317C" w:rsidRPr="00AB0A37">
        <w:rPr>
          <w:szCs w:val="24"/>
        </w:rPr>
        <w:t>”</w:t>
      </w:r>
      <w:r w:rsidRPr="00AB0A37">
        <w:rPr>
          <w:szCs w:val="24"/>
        </w:rPr>
        <w:t xml:space="preserve"> it might be useful to expand the </w:t>
      </w:r>
      <w:r w:rsidRPr="00AB0A37">
        <w:rPr>
          <w:i/>
          <w:iCs/>
          <w:szCs w:val="24"/>
        </w:rPr>
        <w:t>Girsh</w:t>
      </w:r>
      <w:r w:rsidRPr="00AB0A37">
        <w:rPr>
          <w:szCs w:val="24"/>
        </w:rPr>
        <w:t xml:space="preserve"> factors to include:</w:t>
      </w:r>
    </w:p>
    <w:p w14:paraId="74E3F65C" w14:textId="2F6D3051" w:rsidR="009C0015" w:rsidRPr="00AB0A37" w:rsidRDefault="009C0015" w:rsidP="006C7448">
      <w:pPr>
        <w:widowControl w:val="0"/>
        <w:spacing w:after="240" w:line="276" w:lineRule="auto"/>
        <w:ind w:left="720" w:right="720"/>
        <w:jc w:val="both"/>
        <w:rPr>
          <w:szCs w:val="24"/>
        </w:rPr>
      </w:pPr>
      <w:r w:rsidRPr="00AB0A37">
        <w:rPr>
          <w:szCs w:val="24"/>
        </w:rPr>
        <w:t xml:space="preserve">[1] the maturity of the underlying substantive issues, as measured by experience in adjudicating individual actions, the development of scientific knowledge, the extent of discovery on the merits, and other factors that bear on the ability to assess the probable outcome of a trial on the merits of liability and individual damages; [2] the existence and probable outcome of claims by other classes and subclasses; [3] the comparison between the results achieved by the settlement for individual class </w:t>
      </w:r>
      <w:r w:rsidRPr="00AB0A37">
        <w:rPr>
          <w:szCs w:val="24"/>
        </w:rPr>
        <w:lastRenderedPageBreak/>
        <w:t>or subclass members and the results achieved—or likely to be achieved—for other claimants; [4] whether class or subclass members are accorded the right to opt out of the settlement; [5] whether any provisions for attorneys</w:t>
      </w:r>
      <w:r w:rsidR="006B317C" w:rsidRPr="00AB0A37">
        <w:rPr>
          <w:szCs w:val="24"/>
        </w:rPr>
        <w:t>’</w:t>
      </w:r>
      <w:r w:rsidRPr="00AB0A37">
        <w:rPr>
          <w:szCs w:val="24"/>
        </w:rPr>
        <w:t xml:space="preserve"> fees are reasonable; and [6] whether the procedure for processing individual claims under the settlement is fair and reasonable.</w:t>
      </w:r>
    </w:p>
    <w:p w14:paraId="00D7E1BF" w14:textId="6A248002" w:rsidR="009C0015" w:rsidRPr="00E708F5" w:rsidRDefault="009C0015" w:rsidP="006C7448">
      <w:pPr>
        <w:widowControl w:val="0"/>
        <w:spacing w:line="480" w:lineRule="auto"/>
        <w:jc w:val="both"/>
        <w:rPr>
          <w:szCs w:val="24"/>
        </w:rPr>
      </w:pPr>
      <w:r w:rsidRPr="00E708F5">
        <w:rPr>
          <w:szCs w:val="24"/>
        </w:rPr>
        <w:t xml:space="preserve">148 F.3d at 323. </w:t>
      </w:r>
      <w:r w:rsidR="006B317C" w:rsidRPr="00E708F5">
        <w:rPr>
          <w:szCs w:val="24"/>
        </w:rPr>
        <w:t>“</w:t>
      </w:r>
      <w:r w:rsidRPr="00E708F5">
        <w:rPr>
          <w:szCs w:val="24"/>
        </w:rPr>
        <w:t xml:space="preserve">Unlike the </w:t>
      </w:r>
      <w:r w:rsidRPr="00E708F5">
        <w:rPr>
          <w:i/>
          <w:iCs/>
          <w:szCs w:val="24"/>
        </w:rPr>
        <w:t>Girsh</w:t>
      </w:r>
      <w:r w:rsidRPr="00E708F5">
        <w:rPr>
          <w:szCs w:val="24"/>
        </w:rPr>
        <w:t xml:space="preserve"> factors, each of which the district court must consider before approving a class settlement, the </w:t>
      </w:r>
      <w:r w:rsidRPr="00E708F5">
        <w:rPr>
          <w:i/>
          <w:iCs/>
          <w:szCs w:val="24"/>
        </w:rPr>
        <w:t>Prudential</w:t>
      </w:r>
      <w:r w:rsidRPr="00E708F5">
        <w:rPr>
          <w:szCs w:val="24"/>
        </w:rPr>
        <w:t xml:space="preserve"> considerations are just that, prudential.</w:t>
      </w:r>
      <w:r w:rsidR="006B317C" w:rsidRPr="00E708F5">
        <w:rPr>
          <w:szCs w:val="24"/>
        </w:rPr>
        <w:t>”</w:t>
      </w:r>
      <w:r w:rsidRPr="00E708F5">
        <w:rPr>
          <w:szCs w:val="24"/>
        </w:rPr>
        <w:t xml:space="preserve"> </w:t>
      </w:r>
      <w:r w:rsidRPr="00E708F5">
        <w:rPr>
          <w:i/>
          <w:iCs/>
          <w:szCs w:val="24"/>
        </w:rPr>
        <w:t>In re Baby Prods.</w:t>
      </w:r>
      <w:r w:rsidR="002F1891" w:rsidRPr="00E708F5">
        <w:rPr>
          <w:i/>
          <w:iCs/>
          <w:szCs w:val="24"/>
        </w:rPr>
        <w:t xml:space="preserve"> Antitrust Litig</w:t>
      </w:r>
      <w:r w:rsidR="002F1891" w:rsidRPr="00E708F5">
        <w:rPr>
          <w:szCs w:val="24"/>
        </w:rPr>
        <w:t>.</w:t>
      </w:r>
      <w:r w:rsidRPr="00E708F5">
        <w:rPr>
          <w:szCs w:val="24"/>
        </w:rPr>
        <w:t>, 708 F.3d</w:t>
      </w:r>
      <w:r w:rsidR="002F1891" w:rsidRPr="00E708F5">
        <w:rPr>
          <w:szCs w:val="24"/>
        </w:rPr>
        <w:t xml:space="preserve"> 163,</w:t>
      </w:r>
      <w:r w:rsidRPr="00E708F5">
        <w:rPr>
          <w:szCs w:val="24"/>
        </w:rPr>
        <w:t xml:space="preserve"> 174</w:t>
      </w:r>
      <w:r w:rsidR="002F1891" w:rsidRPr="00E708F5">
        <w:rPr>
          <w:szCs w:val="24"/>
        </w:rPr>
        <w:t xml:space="preserve"> (3d Cir. 2013)</w:t>
      </w:r>
      <w:r w:rsidRPr="00E708F5">
        <w:rPr>
          <w:szCs w:val="24"/>
        </w:rPr>
        <w:t>.</w:t>
      </w:r>
    </w:p>
    <w:p w14:paraId="3BC265B2" w14:textId="5A524923" w:rsidR="00554FD4" w:rsidRPr="00817D91" w:rsidRDefault="00D50DA0" w:rsidP="006C7448">
      <w:pPr>
        <w:pStyle w:val="ListParagraph"/>
        <w:keepNext/>
        <w:widowControl w:val="0"/>
        <w:numPr>
          <w:ilvl w:val="2"/>
          <w:numId w:val="4"/>
        </w:numPr>
        <w:spacing w:after="240"/>
        <w:ind w:left="2880" w:right="720" w:hanging="720"/>
        <w:contextualSpacing w:val="0"/>
        <w:rPr>
          <w:szCs w:val="24"/>
        </w:rPr>
      </w:pPr>
      <w:r w:rsidRPr="00873F09">
        <w:rPr>
          <w:b/>
          <w:bCs/>
          <w:szCs w:val="24"/>
        </w:rPr>
        <w:t>Complexity</w:t>
      </w:r>
      <w:r w:rsidR="0038007D" w:rsidRPr="00873F09">
        <w:rPr>
          <w:b/>
          <w:bCs/>
          <w:szCs w:val="24"/>
        </w:rPr>
        <w:t xml:space="preserve">, </w:t>
      </w:r>
      <w:r w:rsidRPr="00873F09">
        <w:rPr>
          <w:b/>
          <w:bCs/>
          <w:szCs w:val="24"/>
        </w:rPr>
        <w:t>Expense</w:t>
      </w:r>
      <w:r w:rsidR="0038007D" w:rsidRPr="00873F09">
        <w:rPr>
          <w:b/>
          <w:bCs/>
          <w:szCs w:val="24"/>
        </w:rPr>
        <w:t xml:space="preserve">, And </w:t>
      </w:r>
      <w:r w:rsidRPr="00873F09">
        <w:rPr>
          <w:b/>
          <w:bCs/>
          <w:szCs w:val="24"/>
        </w:rPr>
        <w:t xml:space="preserve">Likely Duration </w:t>
      </w:r>
      <w:r w:rsidR="0038007D" w:rsidRPr="00873F09">
        <w:rPr>
          <w:b/>
          <w:bCs/>
          <w:szCs w:val="24"/>
        </w:rPr>
        <w:t xml:space="preserve">Of </w:t>
      </w:r>
      <w:r w:rsidRPr="00817D91">
        <w:rPr>
          <w:b/>
          <w:bCs/>
          <w:szCs w:val="24"/>
        </w:rPr>
        <w:t>Litigation</w:t>
      </w:r>
    </w:p>
    <w:p w14:paraId="1B15D84A" w14:textId="05C6135B" w:rsidR="00A121F7" w:rsidRPr="00817D91" w:rsidRDefault="006B317C" w:rsidP="006C7448">
      <w:pPr>
        <w:widowControl w:val="0"/>
        <w:spacing w:line="480" w:lineRule="auto"/>
        <w:ind w:firstLine="720"/>
        <w:jc w:val="both"/>
        <w:rPr>
          <w:szCs w:val="24"/>
        </w:rPr>
      </w:pPr>
      <w:r w:rsidRPr="00817D91">
        <w:rPr>
          <w:szCs w:val="24"/>
        </w:rPr>
        <w:t>“</w:t>
      </w:r>
      <w:r w:rsidR="00A121F7" w:rsidRPr="00817D91">
        <w:rPr>
          <w:szCs w:val="24"/>
        </w:rPr>
        <w:t xml:space="preserve">The first </w:t>
      </w:r>
      <w:r w:rsidR="00DF6CBD" w:rsidRPr="00817D91">
        <w:rPr>
          <w:szCs w:val="24"/>
        </w:rPr>
        <w:t>[</w:t>
      </w:r>
      <w:r w:rsidR="00DF6CBD" w:rsidRPr="00817D91">
        <w:rPr>
          <w:i/>
          <w:iCs/>
          <w:szCs w:val="24"/>
        </w:rPr>
        <w:t>Girsh</w:t>
      </w:r>
      <w:r w:rsidR="00DF6CBD" w:rsidRPr="00817D91">
        <w:rPr>
          <w:szCs w:val="24"/>
        </w:rPr>
        <w:t xml:space="preserve">] </w:t>
      </w:r>
      <w:r w:rsidR="00A121F7" w:rsidRPr="00817D91">
        <w:rPr>
          <w:szCs w:val="24"/>
        </w:rPr>
        <w:t>factor captures the probable costs, in both time and money, of continued litigation.</w:t>
      </w:r>
      <w:r w:rsidRPr="00817D91">
        <w:rPr>
          <w:szCs w:val="24"/>
        </w:rPr>
        <w:t>”</w:t>
      </w:r>
      <w:r w:rsidR="00A121F7" w:rsidRPr="00817D91">
        <w:rPr>
          <w:szCs w:val="24"/>
        </w:rPr>
        <w:t xml:space="preserve"> </w:t>
      </w:r>
      <w:r w:rsidR="00A121F7" w:rsidRPr="00817D91">
        <w:rPr>
          <w:i/>
          <w:iCs/>
          <w:szCs w:val="24"/>
        </w:rPr>
        <w:t>In re NFL Players Concussion Injury Litig</w:t>
      </w:r>
      <w:r w:rsidR="00A121F7" w:rsidRPr="00817D91">
        <w:rPr>
          <w:szCs w:val="24"/>
        </w:rPr>
        <w:t xml:space="preserve">., 821 F.3d at 437. </w:t>
      </w:r>
      <w:r w:rsidR="005369FA" w:rsidRPr="00817D91">
        <w:rPr>
          <w:szCs w:val="24"/>
        </w:rPr>
        <w:t xml:space="preserve">A roadmap exists for what continued litigation </w:t>
      </w:r>
      <w:r w:rsidR="001A0E52">
        <w:rPr>
          <w:szCs w:val="24"/>
        </w:rPr>
        <w:t>could</w:t>
      </w:r>
      <w:r w:rsidR="005369FA" w:rsidRPr="00817D91">
        <w:rPr>
          <w:szCs w:val="24"/>
        </w:rPr>
        <w:t xml:space="preserve"> look like. </w:t>
      </w:r>
      <w:r w:rsidR="00C303E4" w:rsidRPr="00817D91">
        <w:rPr>
          <w:szCs w:val="24"/>
        </w:rPr>
        <w:t>A Rule 26(f) Report filed in another digital accessibility case identifie</w:t>
      </w:r>
      <w:r w:rsidR="00275474" w:rsidRPr="00817D91">
        <w:rPr>
          <w:szCs w:val="24"/>
        </w:rPr>
        <w:t>d</w:t>
      </w:r>
      <w:r w:rsidR="00C303E4" w:rsidRPr="00817D91">
        <w:rPr>
          <w:szCs w:val="24"/>
        </w:rPr>
        <w:t xml:space="preserve"> the defendant’s intention to conduct discovery into the plaintiff’s disability, his motivation for accessing the defendant’s online store, his prior attempts to access the </w:t>
      </w:r>
      <w:r w:rsidR="009E722A">
        <w:rPr>
          <w:szCs w:val="24"/>
        </w:rPr>
        <w:t>store</w:t>
      </w:r>
      <w:r w:rsidR="00C303E4" w:rsidRPr="00817D91">
        <w:rPr>
          <w:szCs w:val="24"/>
        </w:rPr>
        <w:t xml:space="preserve">, and his intention to return to the </w:t>
      </w:r>
      <w:r w:rsidR="009E722A">
        <w:rPr>
          <w:szCs w:val="24"/>
        </w:rPr>
        <w:t>store</w:t>
      </w:r>
      <w:r w:rsidR="00C303E4" w:rsidRPr="00817D91">
        <w:rPr>
          <w:szCs w:val="24"/>
        </w:rPr>
        <w:t xml:space="preserve"> in the future, </w:t>
      </w:r>
      <w:r w:rsidR="00275474" w:rsidRPr="00817D91">
        <w:rPr>
          <w:szCs w:val="24"/>
        </w:rPr>
        <w:t>as well as</w:t>
      </w:r>
      <w:r w:rsidR="00C303E4" w:rsidRPr="00817D91">
        <w:rPr>
          <w:szCs w:val="24"/>
        </w:rPr>
        <w:t xml:space="preserve"> the plaintiff’s intention to conduct discovery into the defendant’s policies and practices, generally. </w:t>
      </w:r>
      <w:r w:rsidR="00BD50B0" w:rsidRPr="00817D91">
        <w:rPr>
          <w:i/>
          <w:iCs/>
          <w:szCs w:val="24"/>
        </w:rPr>
        <w:t>Murphy v. Mast Gen</w:t>
      </w:r>
      <w:r w:rsidR="00C303E4" w:rsidRPr="00817D91">
        <w:rPr>
          <w:i/>
          <w:iCs/>
          <w:szCs w:val="24"/>
        </w:rPr>
        <w:t>.</w:t>
      </w:r>
      <w:r w:rsidR="00BD50B0" w:rsidRPr="00817D91">
        <w:rPr>
          <w:i/>
          <w:iCs/>
          <w:szCs w:val="24"/>
        </w:rPr>
        <w:t xml:space="preserve"> Store, Inc.</w:t>
      </w:r>
      <w:r w:rsidR="00BD50B0" w:rsidRPr="00817D91">
        <w:rPr>
          <w:szCs w:val="24"/>
        </w:rPr>
        <w:t>, No. 1:20-cv-00079</w:t>
      </w:r>
      <w:r w:rsidR="00C303E4" w:rsidRPr="00817D91">
        <w:rPr>
          <w:szCs w:val="24"/>
        </w:rPr>
        <w:t>, Doc. 14</w:t>
      </w:r>
      <w:r w:rsidR="00BD50B0" w:rsidRPr="00817D91">
        <w:rPr>
          <w:szCs w:val="24"/>
        </w:rPr>
        <w:t xml:space="preserve"> (W.D. Pa.</w:t>
      </w:r>
      <w:r w:rsidR="00C303E4" w:rsidRPr="00817D91">
        <w:rPr>
          <w:szCs w:val="24"/>
        </w:rPr>
        <w:t xml:space="preserve"> June 22, 2020</w:t>
      </w:r>
      <w:r w:rsidR="00BD50B0" w:rsidRPr="00817D91">
        <w:rPr>
          <w:szCs w:val="24"/>
        </w:rPr>
        <w:t xml:space="preserve">). </w:t>
      </w:r>
      <w:r w:rsidR="00F1357A" w:rsidRPr="00817D91">
        <w:rPr>
          <w:szCs w:val="24"/>
        </w:rPr>
        <w:t>T</w:t>
      </w:r>
      <w:r w:rsidR="00685914" w:rsidRPr="00817D91">
        <w:rPr>
          <w:szCs w:val="24"/>
        </w:rPr>
        <w:t>he parties anticipate</w:t>
      </w:r>
      <w:r w:rsidR="00C303E4" w:rsidRPr="00817D91">
        <w:rPr>
          <w:szCs w:val="24"/>
        </w:rPr>
        <w:t>d</w:t>
      </w:r>
      <w:r w:rsidR="00695CFF" w:rsidRPr="00817D91">
        <w:rPr>
          <w:szCs w:val="24"/>
        </w:rPr>
        <w:t xml:space="preserve"> document requests, interrogatories, requests for admission, depositions</w:t>
      </w:r>
      <w:r w:rsidR="00685914" w:rsidRPr="00817D91">
        <w:rPr>
          <w:szCs w:val="24"/>
        </w:rPr>
        <w:t>, expert reports, and cross-motions for summary judgment</w:t>
      </w:r>
      <w:r w:rsidR="005369FA" w:rsidRPr="00817D91">
        <w:rPr>
          <w:szCs w:val="24"/>
        </w:rPr>
        <w:t xml:space="preserve">. </w:t>
      </w:r>
      <w:r w:rsidR="00F1357A" w:rsidRPr="00817D91">
        <w:rPr>
          <w:i/>
          <w:iCs/>
          <w:szCs w:val="24"/>
        </w:rPr>
        <w:t>Id</w:t>
      </w:r>
      <w:r w:rsidR="00F1357A" w:rsidRPr="00817D91">
        <w:rPr>
          <w:szCs w:val="24"/>
        </w:rPr>
        <w:t xml:space="preserve">. None of this </w:t>
      </w:r>
      <w:r w:rsidR="005369FA" w:rsidRPr="00817D91">
        <w:rPr>
          <w:szCs w:val="24"/>
        </w:rPr>
        <w:t xml:space="preserve">would yield a better result than </w:t>
      </w:r>
      <w:r w:rsidR="00F1357A" w:rsidRPr="00817D91">
        <w:rPr>
          <w:szCs w:val="24"/>
        </w:rPr>
        <w:t xml:space="preserve">the </w:t>
      </w:r>
      <w:r w:rsidR="00FE5657" w:rsidRPr="00817D91">
        <w:rPr>
          <w:szCs w:val="24"/>
        </w:rPr>
        <w:t>result</w:t>
      </w:r>
      <w:r w:rsidR="00F1357A" w:rsidRPr="00817D91">
        <w:rPr>
          <w:szCs w:val="24"/>
        </w:rPr>
        <w:t xml:space="preserve"> </w:t>
      </w:r>
      <w:r w:rsidR="00FE5657" w:rsidRPr="00817D91">
        <w:rPr>
          <w:szCs w:val="24"/>
        </w:rPr>
        <w:t>reached</w:t>
      </w:r>
      <w:r w:rsidR="005369FA" w:rsidRPr="00817D91">
        <w:rPr>
          <w:szCs w:val="24"/>
        </w:rPr>
        <w:t xml:space="preserve"> in the Agreement. </w:t>
      </w:r>
      <w:r w:rsidR="00E43D74" w:rsidRPr="00817D91">
        <w:rPr>
          <w:szCs w:val="24"/>
        </w:rPr>
        <w:t>T</w:t>
      </w:r>
      <w:r w:rsidR="00500D4F" w:rsidRPr="00817D91">
        <w:rPr>
          <w:szCs w:val="24"/>
        </w:rPr>
        <w:t xml:space="preserve">here is no additional relief </w:t>
      </w:r>
      <w:r w:rsidR="008F37C0" w:rsidRPr="00817D91">
        <w:rPr>
          <w:szCs w:val="24"/>
        </w:rPr>
        <w:t>Plaintiff</w:t>
      </w:r>
      <w:r w:rsidR="00500D4F" w:rsidRPr="00817D91">
        <w:rPr>
          <w:szCs w:val="24"/>
        </w:rPr>
        <w:t xml:space="preserve"> </w:t>
      </w:r>
      <w:r w:rsidR="006723D9" w:rsidRPr="00817D91">
        <w:rPr>
          <w:szCs w:val="24"/>
        </w:rPr>
        <w:t>could</w:t>
      </w:r>
      <w:r w:rsidR="00500D4F" w:rsidRPr="00817D91">
        <w:rPr>
          <w:szCs w:val="24"/>
        </w:rPr>
        <w:t xml:space="preserve"> obtain that justifies the added complexity, expense, and duration of continued litigation.</w:t>
      </w:r>
    </w:p>
    <w:p w14:paraId="30EC5E24" w14:textId="5201975B" w:rsidR="00D50DA0" w:rsidRPr="00AF68A2" w:rsidRDefault="00D50DA0" w:rsidP="006C7448">
      <w:pPr>
        <w:pStyle w:val="ListParagraph"/>
        <w:keepNext/>
        <w:widowControl w:val="0"/>
        <w:numPr>
          <w:ilvl w:val="2"/>
          <w:numId w:val="4"/>
        </w:numPr>
        <w:spacing w:after="240"/>
        <w:ind w:left="2880" w:right="720" w:hanging="720"/>
        <w:contextualSpacing w:val="0"/>
        <w:rPr>
          <w:szCs w:val="24"/>
        </w:rPr>
      </w:pPr>
      <w:r w:rsidRPr="00AF68A2">
        <w:rPr>
          <w:b/>
          <w:bCs/>
          <w:szCs w:val="24"/>
        </w:rPr>
        <w:t xml:space="preserve">Reaction </w:t>
      </w:r>
      <w:r w:rsidR="0038007D" w:rsidRPr="00AF68A2">
        <w:rPr>
          <w:b/>
          <w:bCs/>
          <w:szCs w:val="24"/>
        </w:rPr>
        <w:t xml:space="preserve">Of </w:t>
      </w:r>
      <w:r w:rsidRPr="00AF68A2">
        <w:rPr>
          <w:b/>
          <w:bCs/>
          <w:szCs w:val="24"/>
        </w:rPr>
        <w:t xml:space="preserve">Class </w:t>
      </w:r>
      <w:r w:rsidR="0038007D" w:rsidRPr="00AF68A2">
        <w:rPr>
          <w:b/>
          <w:bCs/>
          <w:szCs w:val="24"/>
        </w:rPr>
        <w:t>To</w:t>
      </w:r>
      <w:r w:rsidR="007F05CF" w:rsidRPr="00AF68A2">
        <w:rPr>
          <w:b/>
          <w:bCs/>
          <w:szCs w:val="24"/>
        </w:rPr>
        <w:t xml:space="preserve"> </w:t>
      </w:r>
      <w:r w:rsidRPr="00AF68A2">
        <w:rPr>
          <w:b/>
          <w:bCs/>
          <w:szCs w:val="24"/>
        </w:rPr>
        <w:t>Settlement</w:t>
      </w:r>
    </w:p>
    <w:p w14:paraId="7FA476AC" w14:textId="6C640E39" w:rsidR="00B979C7" w:rsidRPr="00662BD5" w:rsidRDefault="006B317C" w:rsidP="006C7448">
      <w:pPr>
        <w:widowControl w:val="0"/>
        <w:spacing w:line="480" w:lineRule="auto"/>
        <w:ind w:firstLine="720"/>
        <w:jc w:val="both"/>
        <w:rPr>
          <w:iCs/>
          <w:szCs w:val="24"/>
          <w:highlight w:val="yellow"/>
        </w:rPr>
      </w:pPr>
      <w:r w:rsidRPr="009438F7">
        <w:rPr>
          <w:iCs/>
          <w:szCs w:val="24"/>
        </w:rPr>
        <w:t>“</w:t>
      </w:r>
      <w:r w:rsidR="00500D4F" w:rsidRPr="009438F7">
        <w:rPr>
          <w:iCs/>
          <w:szCs w:val="24"/>
        </w:rPr>
        <w:t xml:space="preserve">The second </w:t>
      </w:r>
      <w:r w:rsidR="00500D4F" w:rsidRPr="009438F7">
        <w:rPr>
          <w:i/>
          <w:szCs w:val="24"/>
        </w:rPr>
        <w:t>Girsh</w:t>
      </w:r>
      <w:r w:rsidR="00500D4F" w:rsidRPr="009438F7">
        <w:rPr>
          <w:iCs/>
          <w:szCs w:val="24"/>
        </w:rPr>
        <w:t xml:space="preserve"> factor attempts to gauge whether members of the class support the </w:t>
      </w:r>
      <w:r w:rsidR="00500D4F" w:rsidRPr="009C0C9C">
        <w:rPr>
          <w:iCs/>
          <w:szCs w:val="24"/>
        </w:rPr>
        <w:t>settlement.</w:t>
      </w:r>
      <w:r w:rsidRPr="009C0C9C">
        <w:rPr>
          <w:iCs/>
          <w:szCs w:val="24"/>
        </w:rPr>
        <w:t>”</w:t>
      </w:r>
      <w:r w:rsidR="00500D4F" w:rsidRPr="009C0C9C">
        <w:rPr>
          <w:iCs/>
          <w:szCs w:val="24"/>
        </w:rPr>
        <w:t xml:space="preserve"> </w:t>
      </w:r>
      <w:r w:rsidR="00B979C7" w:rsidRPr="009C0C9C">
        <w:rPr>
          <w:i/>
          <w:iCs/>
          <w:szCs w:val="24"/>
        </w:rPr>
        <w:t>In re NFL Players Concussion Injury Litig</w:t>
      </w:r>
      <w:r w:rsidR="00B979C7" w:rsidRPr="009C0C9C">
        <w:rPr>
          <w:szCs w:val="24"/>
        </w:rPr>
        <w:t xml:space="preserve">., 821 F.3d at 438. </w:t>
      </w:r>
      <w:r w:rsidR="00500D4F" w:rsidRPr="009C0C9C">
        <w:rPr>
          <w:iCs/>
          <w:szCs w:val="24"/>
        </w:rPr>
        <w:t xml:space="preserve">As </w:t>
      </w:r>
      <w:r w:rsidR="009438F7" w:rsidRPr="009C0C9C">
        <w:rPr>
          <w:iCs/>
          <w:szCs w:val="24"/>
        </w:rPr>
        <w:t xml:space="preserve">already </w:t>
      </w:r>
      <w:r w:rsidR="001937FC" w:rsidRPr="009C0C9C">
        <w:rPr>
          <w:iCs/>
          <w:szCs w:val="24"/>
        </w:rPr>
        <w:t>explain</w:t>
      </w:r>
      <w:r w:rsidR="00500D4F" w:rsidRPr="009C0C9C">
        <w:rPr>
          <w:iCs/>
          <w:szCs w:val="24"/>
        </w:rPr>
        <w:t xml:space="preserve">ed, </w:t>
      </w:r>
      <w:r w:rsidR="009438F7" w:rsidRPr="009C0C9C">
        <w:rPr>
          <w:i/>
          <w:szCs w:val="24"/>
        </w:rPr>
        <w:t xml:space="preserve">see </w:t>
      </w:r>
      <w:r w:rsidR="009438F7" w:rsidRPr="009C0C9C">
        <w:rPr>
          <w:iCs/>
          <w:szCs w:val="24"/>
        </w:rPr>
        <w:t xml:space="preserve">Section (V)(B)(1)(iv) </w:t>
      </w:r>
      <w:r w:rsidR="009438F7" w:rsidRPr="009C0C9C">
        <w:rPr>
          <w:i/>
          <w:szCs w:val="24"/>
        </w:rPr>
        <w:t>supra</w:t>
      </w:r>
      <w:r w:rsidR="009438F7" w:rsidRPr="009C0C9C">
        <w:rPr>
          <w:iCs/>
          <w:szCs w:val="24"/>
        </w:rPr>
        <w:t xml:space="preserve">, </w:t>
      </w:r>
      <w:r w:rsidR="00500D4F" w:rsidRPr="009C0C9C">
        <w:rPr>
          <w:iCs/>
          <w:szCs w:val="24"/>
        </w:rPr>
        <w:t xml:space="preserve">the injunctive relief </w:t>
      </w:r>
      <w:r w:rsidR="00FD76B3" w:rsidRPr="009C0C9C">
        <w:rPr>
          <w:iCs/>
          <w:szCs w:val="24"/>
        </w:rPr>
        <w:t>obtain</w:t>
      </w:r>
      <w:r w:rsidR="00500D4F" w:rsidRPr="009C0C9C">
        <w:rPr>
          <w:iCs/>
          <w:szCs w:val="24"/>
        </w:rPr>
        <w:t xml:space="preserve">ed in the Agreement </w:t>
      </w:r>
      <w:r w:rsidR="009438F7" w:rsidRPr="009C0C9C">
        <w:rPr>
          <w:iCs/>
          <w:szCs w:val="24"/>
        </w:rPr>
        <w:t xml:space="preserve">exceeds or is </w:t>
      </w:r>
      <w:r w:rsidR="009438F7" w:rsidRPr="009C0C9C">
        <w:rPr>
          <w:iCs/>
          <w:szCs w:val="24"/>
        </w:rPr>
        <w:lastRenderedPageBreak/>
        <w:t xml:space="preserve">comparable to the obligations </w:t>
      </w:r>
      <w:r w:rsidR="009438F7" w:rsidRPr="004B5698">
        <w:rPr>
          <w:iCs/>
          <w:szCs w:val="24"/>
        </w:rPr>
        <w:t>contained in</w:t>
      </w:r>
      <w:r w:rsidR="00500D4F" w:rsidRPr="004B5698">
        <w:rPr>
          <w:iCs/>
          <w:szCs w:val="24"/>
        </w:rPr>
        <w:t xml:space="preserve"> every publicly available settlement resolving digital accessibility claims of which </w:t>
      </w:r>
      <w:r w:rsidR="008F37C0" w:rsidRPr="004B5698">
        <w:rPr>
          <w:iCs/>
          <w:szCs w:val="24"/>
        </w:rPr>
        <w:t xml:space="preserve">Plaintiff’s </w:t>
      </w:r>
      <w:r w:rsidR="00500D4F" w:rsidRPr="004B5698">
        <w:rPr>
          <w:iCs/>
          <w:szCs w:val="24"/>
        </w:rPr>
        <w:t xml:space="preserve">counsel </w:t>
      </w:r>
      <w:r w:rsidR="00FD76B3" w:rsidRPr="004B5698">
        <w:rPr>
          <w:iCs/>
          <w:szCs w:val="24"/>
        </w:rPr>
        <w:t>are aware</w:t>
      </w:r>
      <w:r w:rsidR="00B756F1" w:rsidRPr="004B5698">
        <w:rPr>
          <w:iCs/>
          <w:szCs w:val="24"/>
        </w:rPr>
        <w:t xml:space="preserve">, </w:t>
      </w:r>
      <w:r w:rsidR="001937FC" w:rsidRPr="004B5698">
        <w:rPr>
          <w:iCs/>
          <w:szCs w:val="24"/>
        </w:rPr>
        <w:t xml:space="preserve">including </w:t>
      </w:r>
      <w:r w:rsidR="00FD76B3" w:rsidRPr="004B5698">
        <w:rPr>
          <w:iCs/>
          <w:szCs w:val="24"/>
        </w:rPr>
        <w:t xml:space="preserve">settlements achieved by the DOJ and NFB and </w:t>
      </w:r>
      <w:r w:rsidR="002C6092" w:rsidRPr="004B5698">
        <w:rPr>
          <w:iCs/>
          <w:szCs w:val="24"/>
        </w:rPr>
        <w:t xml:space="preserve">those </w:t>
      </w:r>
      <w:r w:rsidR="001937FC" w:rsidRPr="004B5698">
        <w:rPr>
          <w:iCs/>
          <w:szCs w:val="24"/>
        </w:rPr>
        <w:t xml:space="preserve">approved in </w:t>
      </w:r>
      <w:r w:rsidR="001937FC" w:rsidRPr="004B5698">
        <w:rPr>
          <w:i/>
          <w:szCs w:val="24"/>
        </w:rPr>
        <w:t>Eyebobs</w:t>
      </w:r>
      <w:r w:rsidR="001937FC" w:rsidRPr="004B5698">
        <w:rPr>
          <w:iCs/>
          <w:szCs w:val="24"/>
        </w:rPr>
        <w:t xml:space="preserve">, </w:t>
      </w:r>
      <w:r w:rsidR="001937FC" w:rsidRPr="004B5698">
        <w:rPr>
          <w:i/>
          <w:szCs w:val="24"/>
        </w:rPr>
        <w:t>Charles Tyrwhitt</w:t>
      </w:r>
      <w:r w:rsidR="001937FC" w:rsidRPr="004B5698">
        <w:rPr>
          <w:iCs/>
          <w:szCs w:val="24"/>
        </w:rPr>
        <w:t xml:space="preserve">, </w:t>
      </w:r>
      <w:r w:rsidR="00102D5C" w:rsidRPr="004B5698">
        <w:rPr>
          <w:i/>
          <w:szCs w:val="24"/>
        </w:rPr>
        <w:t>The Hundreds</w:t>
      </w:r>
      <w:r w:rsidR="00102D5C" w:rsidRPr="004B5698">
        <w:rPr>
          <w:iCs/>
          <w:szCs w:val="24"/>
        </w:rPr>
        <w:t xml:space="preserve">, </w:t>
      </w:r>
      <w:r w:rsidR="001937FC" w:rsidRPr="004B5698">
        <w:rPr>
          <w:i/>
          <w:szCs w:val="24"/>
        </w:rPr>
        <w:t>Optavia</w:t>
      </w:r>
      <w:r w:rsidR="001937FC" w:rsidRPr="004B5698">
        <w:rPr>
          <w:iCs/>
          <w:szCs w:val="24"/>
        </w:rPr>
        <w:t xml:space="preserve">, and </w:t>
      </w:r>
      <w:r w:rsidR="001937FC" w:rsidRPr="004B5698">
        <w:rPr>
          <w:i/>
          <w:szCs w:val="24"/>
        </w:rPr>
        <w:t>Poly-Wood</w:t>
      </w:r>
      <w:r w:rsidR="001937FC" w:rsidRPr="004B5698">
        <w:rPr>
          <w:iCs/>
          <w:szCs w:val="24"/>
        </w:rPr>
        <w:t xml:space="preserve">. </w:t>
      </w:r>
      <w:r w:rsidR="002C6092" w:rsidRPr="004B5698">
        <w:rPr>
          <w:iCs/>
          <w:szCs w:val="24"/>
        </w:rPr>
        <w:t>I</w:t>
      </w:r>
      <w:r w:rsidR="001937FC" w:rsidRPr="004B5698">
        <w:rPr>
          <w:iCs/>
          <w:szCs w:val="24"/>
        </w:rPr>
        <w:t xml:space="preserve">t is unlikely the Agreement will draw criticism from industry advocates or the </w:t>
      </w:r>
      <w:r w:rsidR="002C6092" w:rsidRPr="004B5698">
        <w:rPr>
          <w:iCs/>
          <w:szCs w:val="24"/>
        </w:rPr>
        <w:t>class</w:t>
      </w:r>
      <w:r w:rsidR="00B979C7" w:rsidRPr="004B5698">
        <w:rPr>
          <w:iCs/>
          <w:szCs w:val="24"/>
        </w:rPr>
        <w:t>.</w:t>
      </w:r>
    </w:p>
    <w:p w14:paraId="2B1BC98F" w14:textId="1C333B80" w:rsidR="00D50DA0" w:rsidRPr="00C86671" w:rsidRDefault="00D50DA0" w:rsidP="006C7448">
      <w:pPr>
        <w:pStyle w:val="ListParagraph"/>
        <w:keepNext/>
        <w:widowControl w:val="0"/>
        <w:numPr>
          <w:ilvl w:val="2"/>
          <w:numId w:val="4"/>
        </w:numPr>
        <w:spacing w:after="240"/>
        <w:ind w:left="2880" w:right="720" w:hanging="720"/>
        <w:contextualSpacing w:val="0"/>
        <w:rPr>
          <w:szCs w:val="24"/>
        </w:rPr>
      </w:pPr>
      <w:r w:rsidRPr="00C86671">
        <w:rPr>
          <w:b/>
          <w:bCs/>
          <w:szCs w:val="24"/>
        </w:rPr>
        <w:t xml:space="preserve">Stage </w:t>
      </w:r>
      <w:r w:rsidR="0038007D" w:rsidRPr="00C86671">
        <w:rPr>
          <w:b/>
          <w:bCs/>
          <w:szCs w:val="24"/>
        </w:rPr>
        <w:t xml:space="preserve">Of </w:t>
      </w:r>
      <w:r w:rsidRPr="00C86671">
        <w:rPr>
          <w:b/>
          <w:bCs/>
          <w:szCs w:val="24"/>
        </w:rPr>
        <w:t xml:space="preserve">Proceedings </w:t>
      </w:r>
      <w:r w:rsidR="0038007D" w:rsidRPr="00C86671">
        <w:rPr>
          <w:b/>
          <w:bCs/>
          <w:szCs w:val="24"/>
        </w:rPr>
        <w:t xml:space="preserve">And </w:t>
      </w:r>
      <w:r w:rsidRPr="00C86671">
        <w:rPr>
          <w:b/>
          <w:bCs/>
          <w:szCs w:val="24"/>
        </w:rPr>
        <w:t xml:space="preserve">Amount </w:t>
      </w:r>
      <w:r w:rsidR="0038007D" w:rsidRPr="00C86671">
        <w:rPr>
          <w:b/>
          <w:bCs/>
          <w:szCs w:val="24"/>
        </w:rPr>
        <w:t xml:space="preserve">Of </w:t>
      </w:r>
      <w:r w:rsidRPr="00C86671">
        <w:rPr>
          <w:b/>
          <w:bCs/>
          <w:szCs w:val="24"/>
        </w:rPr>
        <w:t>Discovery Completed</w:t>
      </w:r>
    </w:p>
    <w:p w14:paraId="6835D65E" w14:textId="4518DA97" w:rsidR="00B979C7" w:rsidRPr="00C86671" w:rsidRDefault="006B317C" w:rsidP="006C7448">
      <w:pPr>
        <w:widowControl w:val="0"/>
        <w:spacing w:line="480" w:lineRule="auto"/>
        <w:ind w:firstLine="720"/>
        <w:jc w:val="both"/>
        <w:rPr>
          <w:szCs w:val="24"/>
        </w:rPr>
      </w:pPr>
      <w:r w:rsidRPr="00C86671">
        <w:rPr>
          <w:szCs w:val="24"/>
        </w:rPr>
        <w:t>“</w:t>
      </w:r>
      <w:r w:rsidR="00B979C7" w:rsidRPr="00C86671">
        <w:rPr>
          <w:szCs w:val="24"/>
        </w:rPr>
        <w:t xml:space="preserve">The third </w:t>
      </w:r>
      <w:r w:rsidR="00B979C7" w:rsidRPr="00C86671">
        <w:rPr>
          <w:i/>
          <w:iCs/>
          <w:szCs w:val="24"/>
        </w:rPr>
        <w:t>Girsh</w:t>
      </w:r>
      <w:r w:rsidR="00B979C7" w:rsidRPr="00C86671">
        <w:rPr>
          <w:szCs w:val="24"/>
        </w:rPr>
        <w:t xml:space="preserve"> factor captures the degree of case development that class counsel [had] accomplished prior to settlement. Through this lens, courts can determine whether counsel had an adequate appreciation of the merits of the case before negotiating.</w:t>
      </w:r>
      <w:r w:rsidRPr="00C86671">
        <w:rPr>
          <w:szCs w:val="24"/>
        </w:rPr>
        <w:t>”</w:t>
      </w:r>
      <w:r w:rsidR="00B979C7" w:rsidRPr="00C86671">
        <w:rPr>
          <w:szCs w:val="24"/>
        </w:rPr>
        <w:t xml:space="preserve"> </w:t>
      </w:r>
      <w:r w:rsidR="00B979C7" w:rsidRPr="00C86671">
        <w:rPr>
          <w:i/>
          <w:iCs/>
          <w:szCs w:val="24"/>
        </w:rPr>
        <w:t>In re NFL Players Concussion Injury Litig</w:t>
      </w:r>
      <w:r w:rsidR="00B979C7" w:rsidRPr="00C86671">
        <w:rPr>
          <w:szCs w:val="24"/>
        </w:rPr>
        <w:t xml:space="preserve">., 821 F.3d at 438-39. </w:t>
      </w:r>
      <w:r w:rsidR="008F37C0" w:rsidRPr="00C86671">
        <w:rPr>
          <w:szCs w:val="24"/>
        </w:rPr>
        <w:t xml:space="preserve">Plaintiff’s </w:t>
      </w:r>
      <w:r w:rsidR="0019173E" w:rsidRPr="00C86671">
        <w:rPr>
          <w:szCs w:val="24"/>
        </w:rPr>
        <w:t>c</w:t>
      </w:r>
      <w:r w:rsidR="00561EC9" w:rsidRPr="00C86671">
        <w:rPr>
          <w:szCs w:val="24"/>
        </w:rPr>
        <w:t xml:space="preserve">ounsel have prosecuted similar digital accessibility claims since 2016. </w:t>
      </w:r>
      <w:r w:rsidR="008F37C0" w:rsidRPr="00C86671">
        <w:rPr>
          <w:szCs w:val="24"/>
        </w:rPr>
        <w:t>Plaintiff</w:t>
      </w:r>
      <w:r w:rsidR="003E5C9A" w:rsidRPr="00C86671">
        <w:rPr>
          <w:szCs w:val="24"/>
        </w:rPr>
        <w:t xml:space="preserve"> </w:t>
      </w:r>
      <w:r w:rsidR="00B756F1" w:rsidRPr="00C86671">
        <w:rPr>
          <w:szCs w:val="24"/>
        </w:rPr>
        <w:t>has</w:t>
      </w:r>
      <w:r w:rsidR="003E5C9A" w:rsidRPr="00C86671">
        <w:rPr>
          <w:szCs w:val="24"/>
        </w:rPr>
        <w:t xml:space="preserve"> filed such claims since 20</w:t>
      </w:r>
      <w:r w:rsidR="00E96695" w:rsidRPr="00C86671">
        <w:rPr>
          <w:szCs w:val="24"/>
        </w:rPr>
        <w:t>20</w:t>
      </w:r>
      <w:r w:rsidR="003E5C9A" w:rsidRPr="00C86671">
        <w:rPr>
          <w:szCs w:val="24"/>
        </w:rPr>
        <w:t xml:space="preserve">. </w:t>
      </w:r>
      <w:r w:rsidR="008F37C0" w:rsidRPr="00C86671">
        <w:rPr>
          <w:szCs w:val="24"/>
        </w:rPr>
        <w:t>Plaintiff</w:t>
      </w:r>
      <w:r w:rsidR="00561EC9" w:rsidRPr="00C86671">
        <w:rPr>
          <w:szCs w:val="24"/>
        </w:rPr>
        <w:t xml:space="preserve"> and </w:t>
      </w:r>
      <w:r w:rsidR="00C86671" w:rsidRPr="00C86671">
        <w:rPr>
          <w:szCs w:val="24"/>
        </w:rPr>
        <w:t>his legal team</w:t>
      </w:r>
      <w:r w:rsidR="00561EC9" w:rsidRPr="00C86671">
        <w:rPr>
          <w:szCs w:val="24"/>
        </w:rPr>
        <w:t xml:space="preserve"> visited Defendant</w:t>
      </w:r>
      <w:r w:rsidRPr="00C86671">
        <w:rPr>
          <w:szCs w:val="24"/>
        </w:rPr>
        <w:t>’</w:t>
      </w:r>
      <w:r w:rsidR="00561EC9" w:rsidRPr="00C86671">
        <w:rPr>
          <w:szCs w:val="24"/>
        </w:rPr>
        <w:t>s online store</w:t>
      </w:r>
      <w:r w:rsidR="00C86671" w:rsidRPr="00C86671">
        <w:rPr>
          <w:szCs w:val="24"/>
        </w:rPr>
        <w:t>s</w:t>
      </w:r>
      <w:r w:rsidR="00561EC9" w:rsidRPr="00C86671">
        <w:rPr>
          <w:szCs w:val="24"/>
        </w:rPr>
        <w:t xml:space="preserve"> and developed firsthand knowledge of the access barriers </w:t>
      </w:r>
      <w:r w:rsidR="00C86671" w:rsidRPr="00C86671">
        <w:rPr>
          <w:szCs w:val="24"/>
        </w:rPr>
        <w:t>that exist</w:t>
      </w:r>
      <w:r w:rsidR="00F50872" w:rsidRPr="00C86671">
        <w:rPr>
          <w:szCs w:val="24"/>
        </w:rPr>
        <w:t>. From that knowledge</w:t>
      </w:r>
      <w:r w:rsidR="008C5A00" w:rsidRPr="00C86671">
        <w:rPr>
          <w:szCs w:val="24"/>
        </w:rPr>
        <w:t>,</w:t>
      </w:r>
      <w:r w:rsidR="00F50872" w:rsidRPr="00C86671">
        <w:rPr>
          <w:szCs w:val="24"/>
        </w:rPr>
        <w:t xml:space="preserve"> and their experience prosecuting </w:t>
      </w:r>
      <w:r w:rsidR="00F94599" w:rsidRPr="00C86671">
        <w:rPr>
          <w:szCs w:val="24"/>
        </w:rPr>
        <w:t>similar</w:t>
      </w:r>
      <w:r w:rsidR="00F50872" w:rsidRPr="00C86671">
        <w:rPr>
          <w:szCs w:val="24"/>
        </w:rPr>
        <w:t xml:space="preserve"> claims, </w:t>
      </w:r>
      <w:r w:rsidR="008F37C0" w:rsidRPr="00C86671">
        <w:rPr>
          <w:szCs w:val="24"/>
        </w:rPr>
        <w:t>Plaintiff</w:t>
      </w:r>
      <w:r w:rsidR="00F50872" w:rsidRPr="00C86671">
        <w:rPr>
          <w:szCs w:val="24"/>
        </w:rPr>
        <w:t xml:space="preserve"> and </w:t>
      </w:r>
      <w:r w:rsidR="00F94599" w:rsidRPr="00C86671">
        <w:rPr>
          <w:szCs w:val="24"/>
        </w:rPr>
        <w:t>his c</w:t>
      </w:r>
      <w:r w:rsidR="00F50872" w:rsidRPr="00C86671">
        <w:rPr>
          <w:szCs w:val="24"/>
        </w:rPr>
        <w:t xml:space="preserve">ounsel adequately appreciated the merits of their case and the </w:t>
      </w:r>
      <w:r w:rsidR="008C5A00" w:rsidRPr="00C86671">
        <w:rPr>
          <w:szCs w:val="24"/>
        </w:rPr>
        <w:t xml:space="preserve">available </w:t>
      </w:r>
      <w:r w:rsidR="00F50872" w:rsidRPr="00C86671">
        <w:rPr>
          <w:szCs w:val="24"/>
        </w:rPr>
        <w:t xml:space="preserve">relief. </w:t>
      </w:r>
      <w:r w:rsidR="003E5C9A" w:rsidRPr="00C86671">
        <w:rPr>
          <w:szCs w:val="24"/>
        </w:rPr>
        <w:t xml:space="preserve">Because the </w:t>
      </w:r>
      <w:r w:rsidR="00F50872" w:rsidRPr="00C86671">
        <w:rPr>
          <w:szCs w:val="24"/>
        </w:rPr>
        <w:t>Agreement achieves th</w:t>
      </w:r>
      <w:r w:rsidR="003E5C9A" w:rsidRPr="00C86671">
        <w:rPr>
          <w:szCs w:val="24"/>
        </w:rPr>
        <w:t xml:space="preserve">e </w:t>
      </w:r>
      <w:r w:rsidR="009C6E23" w:rsidRPr="00C86671">
        <w:rPr>
          <w:szCs w:val="24"/>
        </w:rPr>
        <w:t xml:space="preserve">very relief </w:t>
      </w:r>
      <w:r w:rsidR="008F37C0" w:rsidRPr="00C86671">
        <w:rPr>
          <w:szCs w:val="24"/>
        </w:rPr>
        <w:t>Plaintiff</w:t>
      </w:r>
      <w:r w:rsidR="009C6E23" w:rsidRPr="00C86671">
        <w:rPr>
          <w:szCs w:val="24"/>
        </w:rPr>
        <w:t xml:space="preserve"> would request in summary judgment or trial, the Court should not draw a negative inference from the </w:t>
      </w:r>
      <w:r w:rsidR="00F94599" w:rsidRPr="00C86671">
        <w:rPr>
          <w:szCs w:val="24"/>
        </w:rPr>
        <w:t>p</w:t>
      </w:r>
      <w:r w:rsidR="009C6E23" w:rsidRPr="00C86671">
        <w:rPr>
          <w:szCs w:val="24"/>
        </w:rPr>
        <w:t>arties</w:t>
      </w:r>
      <w:r w:rsidRPr="00C86671">
        <w:rPr>
          <w:szCs w:val="24"/>
        </w:rPr>
        <w:t>’</w:t>
      </w:r>
      <w:r w:rsidR="009C6E23" w:rsidRPr="00C86671">
        <w:rPr>
          <w:szCs w:val="24"/>
        </w:rPr>
        <w:t xml:space="preserve"> resolution at </w:t>
      </w:r>
      <w:r w:rsidR="00F94599" w:rsidRPr="00C86671">
        <w:rPr>
          <w:szCs w:val="24"/>
        </w:rPr>
        <w:t>an</w:t>
      </w:r>
      <w:r w:rsidR="009C6E23" w:rsidRPr="00C86671">
        <w:rPr>
          <w:szCs w:val="24"/>
        </w:rPr>
        <w:t xml:space="preserve"> early stage without</w:t>
      </w:r>
      <w:r w:rsidR="000749FE" w:rsidRPr="00C86671">
        <w:rPr>
          <w:szCs w:val="24"/>
        </w:rPr>
        <w:t xml:space="preserve"> formal</w:t>
      </w:r>
      <w:r w:rsidR="009C6E23" w:rsidRPr="00C86671">
        <w:rPr>
          <w:szCs w:val="24"/>
        </w:rPr>
        <w:t xml:space="preserve"> discovery.</w:t>
      </w:r>
      <w:r w:rsidR="00F50872" w:rsidRPr="00C86671">
        <w:rPr>
          <w:szCs w:val="24"/>
        </w:rPr>
        <w:t xml:space="preserve"> </w:t>
      </w:r>
    </w:p>
    <w:p w14:paraId="567659C8" w14:textId="005F8940" w:rsidR="00D50DA0" w:rsidRPr="00133AF3" w:rsidRDefault="00D50DA0" w:rsidP="006C7448">
      <w:pPr>
        <w:pStyle w:val="ListParagraph"/>
        <w:keepNext/>
        <w:widowControl w:val="0"/>
        <w:numPr>
          <w:ilvl w:val="2"/>
          <w:numId w:val="4"/>
        </w:numPr>
        <w:spacing w:after="240"/>
        <w:ind w:left="2880" w:right="720" w:hanging="720"/>
        <w:contextualSpacing w:val="0"/>
        <w:rPr>
          <w:szCs w:val="24"/>
        </w:rPr>
      </w:pPr>
      <w:r w:rsidRPr="00133AF3">
        <w:rPr>
          <w:b/>
          <w:bCs/>
          <w:szCs w:val="24"/>
        </w:rPr>
        <w:t xml:space="preserve">Risks </w:t>
      </w:r>
      <w:r w:rsidR="0038007D" w:rsidRPr="00133AF3">
        <w:rPr>
          <w:b/>
          <w:bCs/>
          <w:szCs w:val="24"/>
        </w:rPr>
        <w:t xml:space="preserve">Of </w:t>
      </w:r>
      <w:r w:rsidRPr="00133AF3">
        <w:rPr>
          <w:b/>
          <w:bCs/>
          <w:szCs w:val="24"/>
        </w:rPr>
        <w:t>Establishing Liability</w:t>
      </w:r>
      <w:r w:rsidR="009C6E23" w:rsidRPr="00133AF3">
        <w:rPr>
          <w:b/>
          <w:bCs/>
          <w:szCs w:val="24"/>
        </w:rPr>
        <w:t xml:space="preserve"> </w:t>
      </w:r>
      <w:r w:rsidR="0038007D" w:rsidRPr="00133AF3">
        <w:rPr>
          <w:b/>
          <w:bCs/>
          <w:szCs w:val="24"/>
        </w:rPr>
        <w:t xml:space="preserve">And </w:t>
      </w:r>
      <w:r w:rsidR="009C6E23" w:rsidRPr="00133AF3">
        <w:rPr>
          <w:b/>
          <w:bCs/>
          <w:szCs w:val="24"/>
        </w:rPr>
        <w:t>Damages</w:t>
      </w:r>
    </w:p>
    <w:p w14:paraId="50C16812" w14:textId="4CC9308A" w:rsidR="009C6E23" w:rsidRPr="00770254" w:rsidRDefault="006B317C" w:rsidP="006C7448">
      <w:pPr>
        <w:widowControl w:val="0"/>
        <w:spacing w:line="480" w:lineRule="auto"/>
        <w:ind w:firstLine="720"/>
        <w:jc w:val="both"/>
        <w:rPr>
          <w:szCs w:val="24"/>
        </w:rPr>
      </w:pPr>
      <w:r w:rsidRPr="00CE4EA1">
        <w:rPr>
          <w:szCs w:val="24"/>
        </w:rPr>
        <w:t>“</w:t>
      </w:r>
      <w:r w:rsidR="009C6E23" w:rsidRPr="00CE4EA1">
        <w:rPr>
          <w:szCs w:val="24"/>
        </w:rPr>
        <w:t xml:space="preserve">The fourth and fifth </w:t>
      </w:r>
      <w:r w:rsidR="009C6E23" w:rsidRPr="00CE4EA1">
        <w:rPr>
          <w:i/>
          <w:iCs/>
          <w:szCs w:val="24"/>
        </w:rPr>
        <w:t>Girsh</w:t>
      </w:r>
      <w:r w:rsidR="009C6E23" w:rsidRPr="00CE4EA1">
        <w:rPr>
          <w:szCs w:val="24"/>
        </w:rPr>
        <w:t xml:space="preserve"> factors survey the possible risks of litigation in order to balance the likelihood of success and the potential damage award if the case were taken to trial against the benefits of an immediate settlement.</w:t>
      </w:r>
      <w:r w:rsidRPr="00CE4EA1">
        <w:rPr>
          <w:szCs w:val="24"/>
        </w:rPr>
        <w:t>”</w:t>
      </w:r>
      <w:r w:rsidR="009C6E23" w:rsidRPr="00CE4EA1">
        <w:rPr>
          <w:szCs w:val="24"/>
        </w:rPr>
        <w:t xml:space="preserve"> </w:t>
      </w:r>
      <w:r w:rsidR="009C6E23" w:rsidRPr="00CE4EA1">
        <w:rPr>
          <w:i/>
          <w:iCs/>
          <w:szCs w:val="24"/>
        </w:rPr>
        <w:t>In re NFL Players Concussion Injury Litig</w:t>
      </w:r>
      <w:r w:rsidR="009C6E23" w:rsidRPr="00CE4EA1">
        <w:rPr>
          <w:szCs w:val="24"/>
        </w:rPr>
        <w:t xml:space="preserve">., 821 F.3d at 439. These factors </w:t>
      </w:r>
      <w:r w:rsidR="00CE4EA1" w:rsidRPr="00CE4EA1">
        <w:rPr>
          <w:szCs w:val="24"/>
        </w:rPr>
        <w:t>favor</w:t>
      </w:r>
      <w:r w:rsidR="009C6E23" w:rsidRPr="00CE4EA1">
        <w:rPr>
          <w:szCs w:val="24"/>
        </w:rPr>
        <w:t xml:space="preserve"> settlement because </w:t>
      </w:r>
      <w:r w:rsidR="008F37C0" w:rsidRPr="00CE4EA1">
        <w:rPr>
          <w:szCs w:val="24"/>
        </w:rPr>
        <w:t>Plaintiff</w:t>
      </w:r>
      <w:r w:rsidR="009C6E23" w:rsidRPr="00CE4EA1">
        <w:rPr>
          <w:szCs w:val="24"/>
        </w:rPr>
        <w:t xml:space="preserve"> cannot reasonably anticipate achieving </w:t>
      </w:r>
      <w:r w:rsidR="00D64837" w:rsidRPr="00CE4EA1">
        <w:rPr>
          <w:szCs w:val="24"/>
        </w:rPr>
        <w:t>more</w:t>
      </w:r>
      <w:r w:rsidR="009C6E23" w:rsidRPr="00CE4EA1">
        <w:rPr>
          <w:szCs w:val="24"/>
        </w:rPr>
        <w:t xml:space="preserve"> complete injunctive relief at trial than the parties have agreed</w:t>
      </w:r>
      <w:r w:rsidR="00103EEF" w:rsidRPr="00CE4EA1">
        <w:rPr>
          <w:szCs w:val="24"/>
        </w:rPr>
        <w:t xml:space="preserve"> to</w:t>
      </w:r>
      <w:r w:rsidR="009C6E23" w:rsidRPr="00CE4EA1">
        <w:rPr>
          <w:szCs w:val="24"/>
        </w:rPr>
        <w:t xml:space="preserve"> in the Agreement. </w:t>
      </w:r>
      <w:r w:rsidR="004731B3" w:rsidRPr="00CE4EA1">
        <w:rPr>
          <w:szCs w:val="24"/>
        </w:rPr>
        <w:t xml:space="preserve">In addition, </w:t>
      </w:r>
      <w:r w:rsidR="003D09B4" w:rsidRPr="00CE4EA1">
        <w:rPr>
          <w:szCs w:val="24"/>
        </w:rPr>
        <w:t xml:space="preserve">Defendant might </w:t>
      </w:r>
      <w:r w:rsidR="000F65AB" w:rsidRPr="00CE4EA1">
        <w:rPr>
          <w:szCs w:val="24"/>
        </w:rPr>
        <w:t>successfully raise</w:t>
      </w:r>
      <w:r w:rsidR="003D09B4" w:rsidRPr="00CE4EA1">
        <w:rPr>
          <w:szCs w:val="24"/>
        </w:rPr>
        <w:t xml:space="preserve"> </w:t>
      </w:r>
      <w:r w:rsidR="004731B3" w:rsidRPr="00CE4EA1">
        <w:rPr>
          <w:szCs w:val="24"/>
        </w:rPr>
        <w:t xml:space="preserve">affirmative defenses </w:t>
      </w:r>
      <w:r w:rsidR="003D09B4" w:rsidRPr="00CE4EA1">
        <w:rPr>
          <w:szCs w:val="24"/>
        </w:rPr>
        <w:t>in dispositive motions or at trial, including that it has no obligations under the ADA to make its online store</w:t>
      </w:r>
      <w:r w:rsidR="00CE4EA1" w:rsidRPr="00CE4EA1">
        <w:rPr>
          <w:szCs w:val="24"/>
        </w:rPr>
        <w:t>s</w:t>
      </w:r>
      <w:r w:rsidR="003D09B4" w:rsidRPr="00CE4EA1">
        <w:rPr>
          <w:szCs w:val="24"/>
        </w:rPr>
        <w:t xml:space="preserve"> accessible to blind shoppers or </w:t>
      </w:r>
      <w:r w:rsidR="003D09B4" w:rsidRPr="00CE4EA1">
        <w:rPr>
          <w:szCs w:val="24"/>
        </w:rPr>
        <w:lastRenderedPageBreak/>
        <w:t>that any modifications to its online store</w:t>
      </w:r>
      <w:r w:rsidR="00CE4EA1" w:rsidRPr="00CE4EA1">
        <w:rPr>
          <w:szCs w:val="24"/>
        </w:rPr>
        <w:t>s</w:t>
      </w:r>
      <w:r w:rsidR="003D09B4" w:rsidRPr="00CE4EA1">
        <w:rPr>
          <w:szCs w:val="24"/>
        </w:rPr>
        <w:t xml:space="preserve"> would </w:t>
      </w:r>
      <w:r w:rsidR="00D64837" w:rsidRPr="00CE4EA1">
        <w:rPr>
          <w:szCs w:val="24"/>
        </w:rPr>
        <w:t xml:space="preserve">impose an undue burden </w:t>
      </w:r>
      <w:r w:rsidR="00103EEF" w:rsidRPr="00CE4EA1">
        <w:rPr>
          <w:szCs w:val="24"/>
        </w:rPr>
        <w:t>or</w:t>
      </w:r>
      <w:r w:rsidR="00D64837" w:rsidRPr="00CE4EA1">
        <w:rPr>
          <w:szCs w:val="24"/>
        </w:rPr>
        <w:t xml:space="preserve"> fundamentally alter </w:t>
      </w:r>
      <w:r w:rsidR="000F65AB" w:rsidRPr="00CE4EA1">
        <w:rPr>
          <w:szCs w:val="24"/>
        </w:rPr>
        <w:t>its</w:t>
      </w:r>
      <w:r w:rsidR="00D64837" w:rsidRPr="00CE4EA1">
        <w:rPr>
          <w:szCs w:val="24"/>
        </w:rPr>
        <w:t xml:space="preserve"> </w:t>
      </w:r>
      <w:r w:rsidR="00103EEF" w:rsidRPr="00CE4EA1">
        <w:rPr>
          <w:szCs w:val="24"/>
        </w:rPr>
        <w:t>business</w:t>
      </w:r>
      <w:r w:rsidR="00D64837" w:rsidRPr="00CE4EA1">
        <w:rPr>
          <w:szCs w:val="24"/>
        </w:rPr>
        <w:t>.</w:t>
      </w:r>
      <w:r w:rsidR="00E22A6A" w:rsidRPr="00CE4EA1">
        <w:rPr>
          <w:szCs w:val="24"/>
        </w:rPr>
        <w:t xml:space="preserve"> </w:t>
      </w:r>
      <w:r w:rsidR="000F65AB" w:rsidRPr="00CE4EA1">
        <w:rPr>
          <w:szCs w:val="24"/>
        </w:rPr>
        <w:t>In light of</w:t>
      </w:r>
      <w:r w:rsidR="00E22A6A" w:rsidRPr="00CE4EA1">
        <w:rPr>
          <w:szCs w:val="24"/>
        </w:rPr>
        <w:t xml:space="preserve"> the Agreement</w:t>
      </w:r>
      <w:r w:rsidRPr="00CE4EA1">
        <w:rPr>
          <w:szCs w:val="24"/>
        </w:rPr>
        <w:t>’</w:t>
      </w:r>
      <w:r w:rsidR="00E22A6A" w:rsidRPr="00CE4EA1">
        <w:rPr>
          <w:szCs w:val="24"/>
        </w:rPr>
        <w:t>s relief and Defendant</w:t>
      </w:r>
      <w:r w:rsidRPr="00CE4EA1">
        <w:rPr>
          <w:szCs w:val="24"/>
        </w:rPr>
        <w:t>’</w:t>
      </w:r>
      <w:r w:rsidR="00E22A6A" w:rsidRPr="00CE4EA1">
        <w:rPr>
          <w:szCs w:val="24"/>
        </w:rPr>
        <w:t>s defenses, the</w:t>
      </w:r>
      <w:r w:rsidR="00103EEF" w:rsidRPr="00CE4EA1">
        <w:rPr>
          <w:szCs w:val="24"/>
        </w:rPr>
        <w:t>se factors</w:t>
      </w:r>
      <w:r w:rsidR="00E22A6A" w:rsidRPr="00CE4EA1">
        <w:rPr>
          <w:szCs w:val="24"/>
        </w:rPr>
        <w:t xml:space="preserve"> weigh in favor of settlement.</w:t>
      </w:r>
    </w:p>
    <w:p w14:paraId="32B6D617" w14:textId="4D9B6AC4" w:rsidR="00D50DA0" w:rsidRPr="00770254" w:rsidRDefault="00D50DA0" w:rsidP="006C7448">
      <w:pPr>
        <w:pStyle w:val="ListParagraph"/>
        <w:keepNext/>
        <w:widowControl w:val="0"/>
        <w:numPr>
          <w:ilvl w:val="2"/>
          <w:numId w:val="4"/>
        </w:numPr>
        <w:spacing w:after="240"/>
        <w:ind w:left="2880" w:right="720" w:hanging="720"/>
        <w:contextualSpacing w:val="0"/>
        <w:rPr>
          <w:szCs w:val="24"/>
        </w:rPr>
      </w:pPr>
      <w:r w:rsidRPr="00770254">
        <w:rPr>
          <w:b/>
          <w:bCs/>
          <w:szCs w:val="24"/>
        </w:rPr>
        <w:t xml:space="preserve">Risks </w:t>
      </w:r>
      <w:r w:rsidR="0038007D" w:rsidRPr="00770254">
        <w:rPr>
          <w:b/>
          <w:bCs/>
          <w:szCs w:val="24"/>
        </w:rPr>
        <w:t xml:space="preserve">Of </w:t>
      </w:r>
      <w:r w:rsidRPr="00770254">
        <w:rPr>
          <w:b/>
          <w:bCs/>
          <w:szCs w:val="24"/>
        </w:rPr>
        <w:t>Maintaining Class Action Through Trial</w:t>
      </w:r>
    </w:p>
    <w:p w14:paraId="09FEB68E" w14:textId="112BD9D7" w:rsidR="0051174F" w:rsidRPr="00456AE1" w:rsidRDefault="002627EC" w:rsidP="006C7448">
      <w:pPr>
        <w:widowControl w:val="0"/>
        <w:spacing w:line="480" w:lineRule="auto"/>
        <w:ind w:firstLine="720"/>
        <w:jc w:val="both"/>
        <w:rPr>
          <w:szCs w:val="24"/>
        </w:rPr>
      </w:pPr>
      <w:r w:rsidRPr="00F30969">
        <w:rPr>
          <w:szCs w:val="24"/>
        </w:rPr>
        <w:t>T</w:t>
      </w:r>
      <w:r w:rsidR="00E22A6A" w:rsidRPr="00F30969">
        <w:rPr>
          <w:szCs w:val="24"/>
        </w:rPr>
        <w:t>h</w:t>
      </w:r>
      <w:r w:rsidRPr="00F30969">
        <w:rPr>
          <w:szCs w:val="24"/>
        </w:rPr>
        <w:t>e sixth</w:t>
      </w:r>
      <w:r w:rsidR="0051174F" w:rsidRPr="00F30969">
        <w:rPr>
          <w:szCs w:val="24"/>
        </w:rPr>
        <w:t xml:space="preserve"> </w:t>
      </w:r>
      <w:r w:rsidR="0051174F" w:rsidRPr="00F30969">
        <w:rPr>
          <w:i/>
          <w:iCs/>
          <w:szCs w:val="24"/>
        </w:rPr>
        <w:t xml:space="preserve">Girsh </w:t>
      </w:r>
      <w:r w:rsidR="0051174F" w:rsidRPr="00F30969">
        <w:rPr>
          <w:szCs w:val="24"/>
        </w:rPr>
        <w:t xml:space="preserve">factor is essentially </w:t>
      </w:r>
      <w:r w:rsidRPr="00F30969">
        <w:rPr>
          <w:szCs w:val="24"/>
        </w:rPr>
        <w:t>“</w:t>
      </w:r>
      <w:r w:rsidR="0051174F" w:rsidRPr="00F30969">
        <w:rPr>
          <w:szCs w:val="24"/>
        </w:rPr>
        <w:t>toothless</w:t>
      </w:r>
      <w:r w:rsidR="006B317C" w:rsidRPr="00F30969">
        <w:rPr>
          <w:szCs w:val="24"/>
        </w:rPr>
        <w:t>”</w:t>
      </w:r>
      <w:r w:rsidR="0051174F" w:rsidRPr="00F30969">
        <w:rPr>
          <w:szCs w:val="24"/>
        </w:rPr>
        <w:t xml:space="preserve"> in a settlement class </w:t>
      </w:r>
      <w:r w:rsidR="00350CE9" w:rsidRPr="00F30969">
        <w:rPr>
          <w:szCs w:val="24"/>
        </w:rPr>
        <w:t>since</w:t>
      </w:r>
      <w:r w:rsidR="0051174F" w:rsidRPr="00F30969">
        <w:rPr>
          <w:szCs w:val="24"/>
        </w:rPr>
        <w:t xml:space="preserve"> </w:t>
      </w:r>
      <w:r w:rsidR="006B317C" w:rsidRPr="00F30969">
        <w:rPr>
          <w:szCs w:val="24"/>
        </w:rPr>
        <w:t>“</w:t>
      </w:r>
      <w:r w:rsidR="0051174F" w:rsidRPr="00F30969">
        <w:rPr>
          <w:szCs w:val="24"/>
        </w:rPr>
        <w:t>a district court need not inquire whether the case, if tried, would present intractable management problems</w:t>
      </w:r>
      <w:r w:rsidR="00350CE9" w:rsidRPr="00F30969">
        <w:rPr>
          <w:szCs w:val="24"/>
        </w:rPr>
        <w:t>[</w:t>
      </w:r>
      <w:r w:rsidR="00AE3FAA" w:rsidRPr="00F30969">
        <w:rPr>
          <w:szCs w:val="24"/>
        </w:rPr>
        <w:t>,</w:t>
      </w:r>
      <w:r w:rsidR="00350CE9" w:rsidRPr="00F30969">
        <w:rPr>
          <w:szCs w:val="24"/>
        </w:rPr>
        <w:t>]</w:t>
      </w:r>
      <w:r w:rsidR="0051174F" w:rsidRPr="00F30969">
        <w:rPr>
          <w:szCs w:val="24"/>
        </w:rPr>
        <w:t xml:space="preserve"> </w:t>
      </w:r>
      <w:r w:rsidR="00350CE9" w:rsidRPr="00F30969">
        <w:rPr>
          <w:szCs w:val="24"/>
        </w:rPr>
        <w:t xml:space="preserve">. . . </w:t>
      </w:r>
      <w:r w:rsidR="0051174F" w:rsidRPr="00F30969">
        <w:rPr>
          <w:szCs w:val="24"/>
        </w:rPr>
        <w:t>for the proposal is that there be no trial.</w:t>
      </w:r>
      <w:r w:rsidR="006B317C" w:rsidRPr="00F30969">
        <w:rPr>
          <w:szCs w:val="24"/>
        </w:rPr>
        <w:t>”</w:t>
      </w:r>
      <w:r w:rsidR="0051174F" w:rsidRPr="00F30969">
        <w:rPr>
          <w:szCs w:val="24"/>
        </w:rPr>
        <w:t xml:space="preserve"> </w:t>
      </w:r>
      <w:r w:rsidR="0051174F" w:rsidRPr="00F30969">
        <w:rPr>
          <w:i/>
          <w:iCs/>
          <w:szCs w:val="24"/>
        </w:rPr>
        <w:t>In re NFL Players Concussion Injury Litig</w:t>
      </w:r>
      <w:r w:rsidR="0051174F" w:rsidRPr="00F30969">
        <w:rPr>
          <w:szCs w:val="24"/>
        </w:rPr>
        <w:t xml:space="preserve">., 821 F.3d at 440. In </w:t>
      </w:r>
      <w:r w:rsidRPr="00F30969">
        <w:rPr>
          <w:szCs w:val="24"/>
        </w:rPr>
        <w:t>any</w:t>
      </w:r>
      <w:r w:rsidR="0051174F" w:rsidRPr="00F30969">
        <w:rPr>
          <w:szCs w:val="24"/>
        </w:rPr>
        <w:t xml:space="preserve"> event, th</w:t>
      </w:r>
      <w:r w:rsidR="00AE2E20" w:rsidRPr="00F30969">
        <w:rPr>
          <w:szCs w:val="24"/>
        </w:rPr>
        <w:t>is</w:t>
      </w:r>
      <w:r w:rsidR="0051174F" w:rsidRPr="00F30969">
        <w:rPr>
          <w:szCs w:val="24"/>
        </w:rPr>
        <w:t xml:space="preserve"> factor weighs in favor of settlement still because </w:t>
      </w:r>
      <w:r w:rsidR="00746814" w:rsidRPr="00F30969">
        <w:rPr>
          <w:szCs w:val="24"/>
        </w:rPr>
        <w:t>Plaintiff has</w:t>
      </w:r>
      <w:r w:rsidR="00A06D76" w:rsidRPr="00F30969">
        <w:rPr>
          <w:szCs w:val="24"/>
        </w:rPr>
        <w:t xml:space="preserve"> no adverse interests to those of the </w:t>
      </w:r>
      <w:r w:rsidR="00350CE9" w:rsidRPr="00F30969">
        <w:rPr>
          <w:szCs w:val="24"/>
        </w:rPr>
        <w:t>class,</w:t>
      </w:r>
      <w:r w:rsidR="00A06D76" w:rsidRPr="00F30969">
        <w:rPr>
          <w:szCs w:val="24"/>
        </w:rPr>
        <w:t xml:space="preserve"> and </w:t>
      </w:r>
      <w:r w:rsidR="00350CE9" w:rsidRPr="00F30969">
        <w:rPr>
          <w:szCs w:val="24"/>
        </w:rPr>
        <w:t>is</w:t>
      </w:r>
      <w:r w:rsidR="00A06D76" w:rsidRPr="00F30969">
        <w:rPr>
          <w:szCs w:val="24"/>
        </w:rPr>
        <w:t xml:space="preserve"> </w:t>
      </w:r>
      <w:r w:rsidR="00A06D76" w:rsidRPr="00B15E24">
        <w:rPr>
          <w:szCs w:val="24"/>
        </w:rPr>
        <w:t xml:space="preserve">unlikely to develop </w:t>
      </w:r>
      <w:r w:rsidR="00350CE9" w:rsidRPr="00B15E24">
        <w:rPr>
          <w:szCs w:val="24"/>
        </w:rPr>
        <w:t xml:space="preserve">any </w:t>
      </w:r>
      <w:r w:rsidR="00A06D76" w:rsidRPr="00B15E24">
        <w:rPr>
          <w:szCs w:val="24"/>
        </w:rPr>
        <w:t xml:space="preserve">such interests, </w:t>
      </w:r>
      <w:r w:rsidR="00350CE9" w:rsidRPr="00B15E24">
        <w:rPr>
          <w:szCs w:val="24"/>
        </w:rPr>
        <w:t>like</w:t>
      </w:r>
      <w:r w:rsidR="00A06D76" w:rsidRPr="00B15E24">
        <w:rPr>
          <w:szCs w:val="24"/>
        </w:rPr>
        <w:t xml:space="preserve"> regaining </w:t>
      </w:r>
      <w:r w:rsidR="00350CE9" w:rsidRPr="00B15E24">
        <w:rPr>
          <w:szCs w:val="24"/>
        </w:rPr>
        <w:t>his</w:t>
      </w:r>
      <w:r w:rsidR="00A06D76" w:rsidRPr="00B15E24">
        <w:rPr>
          <w:szCs w:val="24"/>
        </w:rPr>
        <w:t xml:space="preserve"> sight </w:t>
      </w:r>
      <w:r w:rsidR="00A06D76" w:rsidRPr="00456AE1">
        <w:rPr>
          <w:szCs w:val="24"/>
        </w:rPr>
        <w:t xml:space="preserve">such that </w:t>
      </w:r>
      <w:r w:rsidR="00350CE9" w:rsidRPr="00456AE1">
        <w:rPr>
          <w:szCs w:val="24"/>
        </w:rPr>
        <w:t>he</w:t>
      </w:r>
      <w:r w:rsidR="00A06D76" w:rsidRPr="00456AE1">
        <w:rPr>
          <w:szCs w:val="24"/>
        </w:rPr>
        <w:t xml:space="preserve"> no longer require</w:t>
      </w:r>
      <w:r w:rsidR="00AE2E20" w:rsidRPr="00456AE1">
        <w:rPr>
          <w:szCs w:val="24"/>
        </w:rPr>
        <w:t>s</w:t>
      </w:r>
      <w:r w:rsidR="00A06D76" w:rsidRPr="00456AE1">
        <w:rPr>
          <w:szCs w:val="24"/>
        </w:rPr>
        <w:t xml:space="preserve"> Defendant</w:t>
      </w:r>
      <w:r w:rsidR="006B317C" w:rsidRPr="00456AE1">
        <w:rPr>
          <w:szCs w:val="24"/>
        </w:rPr>
        <w:t>’</w:t>
      </w:r>
      <w:r w:rsidR="00A06D76" w:rsidRPr="00456AE1">
        <w:rPr>
          <w:szCs w:val="24"/>
        </w:rPr>
        <w:t>s online store</w:t>
      </w:r>
      <w:r w:rsidR="00F30969" w:rsidRPr="00456AE1">
        <w:rPr>
          <w:szCs w:val="24"/>
        </w:rPr>
        <w:t>s</w:t>
      </w:r>
      <w:r w:rsidR="00A06D76" w:rsidRPr="00456AE1">
        <w:rPr>
          <w:szCs w:val="24"/>
        </w:rPr>
        <w:t xml:space="preserve"> to be compatible with screen readers.</w:t>
      </w:r>
    </w:p>
    <w:p w14:paraId="278BA93F" w14:textId="7331A103" w:rsidR="00D50DA0" w:rsidRPr="00456AE1" w:rsidRDefault="00D50DA0" w:rsidP="006C7448">
      <w:pPr>
        <w:pStyle w:val="ListParagraph"/>
        <w:keepNext/>
        <w:widowControl w:val="0"/>
        <w:numPr>
          <w:ilvl w:val="2"/>
          <w:numId w:val="4"/>
        </w:numPr>
        <w:spacing w:after="240"/>
        <w:ind w:left="2880" w:right="720" w:hanging="720"/>
        <w:contextualSpacing w:val="0"/>
        <w:rPr>
          <w:szCs w:val="24"/>
        </w:rPr>
      </w:pPr>
      <w:r w:rsidRPr="00456AE1">
        <w:rPr>
          <w:b/>
          <w:bCs/>
          <w:szCs w:val="24"/>
        </w:rPr>
        <w:t xml:space="preserve">Ability </w:t>
      </w:r>
      <w:r w:rsidR="0038007D" w:rsidRPr="00456AE1">
        <w:rPr>
          <w:b/>
          <w:bCs/>
          <w:szCs w:val="24"/>
        </w:rPr>
        <w:t xml:space="preserve">Of </w:t>
      </w:r>
      <w:r w:rsidRPr="00456AE1">
        <w:rPr>
          <w:b/>
          <w:bCs/>
          <w:szCs w:val="24"/>
        </w:rPr>
        <w:t xml:space="preserve">Defendant </w:t>
      </w:r>
      <w:r w:rsidR="0038007D" w:rsidRPr="00456AE1">
        <w:rPr>
          <w:b/>
          <w:bCs/>
          <w:szCs w:val="24"/>
        </w:rPr>
        <w:t xml:space="preserve">To </w:t>
      </w:r>
      <w:r w:rsidRPr="00456AE1">
        <w:rPr>
          <w:b/>
          <w:bCs/>
          <w:szCs w:val="24"/>
        </w:rPr>
        <w:t>Withstand Greater Judgment</w:t>
      </w:r>
    </w:p>
    <w:p w14:paraId="3CE87D27" w14:textId="58A31B49" w:rsidR="00371307" w:rsidRPr="00456AE1" w:rsidRDefault="006B317C" w:rsidP="006C7448">
      <w:pPr>
        <w:widowControl w:val="0"/>
        <w:spacing w:line="480" w:lineRule="auto"/>
        <w:ind w:firstLine="720"/>
        <w:jc w:val="both"/>
        <w:rPr>
          <w:szCs w:val="24"/>
        </w:rPr>
      </w:pPr>
      <w:r w:rsidRPr="00456AE1">
        <w:rPr>
          <w:szCs w:val="24"/>
        </w:rPr>
        <w:t>“</w:t>
      </w:r>
      <w:r w:rsidR="00371307" w:rsidRPr="00456AE1">
        <w:rPr>
          <w:szCs w:val="24"/>
        </w:rPr>
        <w:t xml:space="preserve">The seventh </w:t>
      </w:r>
      <w:r w:rsidR="00371307" w:rsidRPr="00456AE1">
        <w:rPr>
          <w:i/>
          <w:iCs/>
          <w:szCs w:val="24"/>
        </w:rPr>
        <w:t>Girsh</w:t>
      </w:r>
      <w:r w:rsidR="00371307" w:rsidRPr="00456AE1">
        <w:rPr>
          <w:szCs w:val="24"/>
        </w:rPr>
        <w:t xml:space="preserve"> factor is most relevant when the defendant</w:t>
      </w:r>
      <w:r w:rsidRPr="00456AE1">
        <w:rPr>
          <w:szCs w:val="24"/>
        </w:rPr>
        <w:t>’</w:t>
      </w:r>
      <w:r w:rsidR="00371307" w:rsidRPr="00456AE1">
        <w:rPr>
          <w:szCs w:val="24"/>
        </w:rPr>
        <w:t>s professed inability to pay is used to justify the amount of the settlement.</w:t>
      </w:r>
      <w:r w:rsidRPr="00456AE1">
        <w:rPr>
          <w:szCs w:val="24"/>
        </w:rPr>
        <w:t>”</w:t>
      </w:r>
      <w:r w:rsidR="00371307" w:rsidRPr="00456AE1">
        <w:rPr>
          <w:szCs w:val="24"/>
        </w:rPr>
        <w:t xml:space="preserve"> </w:t>
      </w:r>
      <w:r w:rsidR="00371307" w:rsidRPr="00456AE1">
        <w:rPr>
          <w:i/>
          <w:iCs/>
          <w:szCs w:val="24"/>
        </w:rPr>
        <w:t>In re NFL Players Concussion Injury Litig</w:t>
      </w:r>
      <w:r w:rsidR="00371307" w:rsidRPr="00456AE1">
        <w:rPr>
          <w:szCs w:val="24"/>
        </w:rPr>
        <w:t xml:space="preserve">., 821 F.3d at 440. This factor is less relevant here, </w:t>
      </w:r>
      <w:r w:rsidR="00921F85" w:rsidRPr="00456AE1">
        <w:rPr>
          <w:szCs w:val="24"/>
        </w:rPr>
        <w:t>as</w:t>
      </w:r>
      <w:r w:rsidR="00371307" w:rsidRPr="00456AE1">
        <w:rPr>
          <w:szCs w:val="24"/>
        </w:rPr>
        <w:t xml:space="preserve"> </w:t>
      </w:r>
      <w:r w:rsidR="008F37C0" w:rsidRPr="00456AE1">
        <w:rPr>
          <w:szCs w:val="24"/>
        </w:rPr>
        <w:t>Plaintiff</w:t>
      </w:r>
      <w:r w:rsidR="00371307" w:rsidRPr="00456AE1">
        <w:rPr>
          <w:szCs w:val="24"/>
        </w:rPr>
        <w:t xml:space="preserve"> seek</w:t>
      </w:r>
      <w:r w:rsidR="00B756F1" w:rsidRPr="00456AE1">
        <w:rPr>
          <w:szCs w:val="24"/>
        </w:rPr>
        <w:t>s</w:t>
      </w:r>
      <w:r w:rsidR="00371307" w:rsidRPr="00456AE1">
        <w:rPr>
          <w:szCs w:val="24"/>
        </w:rPr>
        <w:t xml:space="preserve"> </w:t>
      </w:r>
      <w:r w:rsidR="005C5895" w:rsidRPr="00456AE1">
        <w:rPr>
          <w:szCs w:val="24"/>
        </w:rPr>
        <w:t xml:space="preserve">only </w:t>
      </w:r>
      <w:r w:rsidR="00371307" w:rsidRPr="00456AE1">
        <w:rPr>
          <w:szCs w:val="24"/>
        </w:rPr>
        <w:t xml:space="preserve">injunctive relief. </w:t>
      </w:r>
      <w:r w:rsidR="00921F85" w:rsidRPr="00456AE1">
        <w:rPr>
          <w:szCs w:val="24"/>
        </w:rPr>
        <w:t>Either way</w:t>
      </w:r>
      <w:r w:rsidR="00371307" w:rsidRPr="00456AE1">
        <w:rPr>
          <w:szCs w:val="24"/>
        </w:rPr>
        <w:t xml:space="preserve">, </w:t>
      </w:r>
      <w:r w:rsidR="000F5C78" w:rsidRPr="00456AE1">
        <w:rPr>
          <w:szCs w:val="24"/>
        </w:rPr>
        <w:t xml:space="preserve">the Agreement cuts no corners in </w:t>
      </w:r>
      <w:r w:rsidR="005C5895" w:rsidRPr="00456AE1">
        <w:rPr>
          <w:szCs w:val="24"/>
        </w:rPr>
        <w:t xml:space="preserve">outlining </w:t>
      </w:r>
      <w:r w:rsidR="000F5C78" w:rsidRPr="00456AE1">
        <w:rPr>
          <w:szCs w:val="24"/>
        </w:rPr>
        <w:t>Defendant</w:t>
      </w:r>
      <w:r w:rsidRPr="00456AE1">
        <w:rPr>
          <w:szCs w:val="24"/>
        </w:rPr>
        <w:t>’</w:t>
      </w:r>
      <w:r w:rsidR="000F5C78" w:rsidRPr="00456AE1">
        <w:rPr>
          <w:szCs w:val="24"/>
        </w:rPr>
        <w:t xml:space="preserve">s </w:t>
      </w:r>
      <w:r w:rsidR="00F934CF" w:rsidRPr="00456AE1">
        <w:rPr>
          <w:szCs w:val="24"/>
        </w:rPr>
        <w:t xml:space="preserve">future </w:t>
      </w:r>
      <w:r w:rsidR="000F5C78" w:rsidRPr="00456AE1">
        <w:rPr>
          <w:szCs w:val="24"/>
        </w:rPr>
        <w:t xml:space="preserve">accessibility policies and practices. </w:t>
      </w:r>
      <w:r w:rsidR="00DC4A3F" w:rsidRPr="00456AE1">
        <w:rPr>
          <w:szCs w:val="24"/>
        </w:rPr>
        <w:t>It</w:t>
      </w:r>
      <w:r w:rsidR="000F5C78" w:rsidRPr="00456AE1">
        <w:rPr>
          <w:szCs w:val="24"/>
        </w:rPr>
        <w:t xml:space="preserve"> obligates Defendant to make the U.S. portions of all of its </w:t>
      </w:r>
      <w:r w:rsidR="005C5895" w:rsidRPr="00456AE1">
        <w:rPr>
          <w:szCs w:val="24"/>
        </w:rPr>
        <w:t>D</w:t>
      </w:r>
      <w:r w:rsidR="000F5C78" w:rsidRPr="00456AE1">
        <w:rPr>
          <w:szCs w:val="24"/>
        </w:rPr>
        <w:t>igital</w:t>
      </w:r>
      <w:r w:rsidR="005C5895" w:rsidRPr="00456AE1">
        <w:rPr>
          <w:szCs w:val="24"/>
        </w:rPr>
        <w:t xml:space="preserve"> P</w:t>
      </w:r>
      <w:r w:rsidR="000F5C78" w:rsidRPr="00456AE1">
        <w:rPr>
          <w:szCs w:val="24"/>
        </w:rPr>
        <w:t xml:space="preserve">roperties </w:t>
      </w:r>
      <w:r w:rsidR="00456AE1" w:rsidRPr="00456AE1">
        <w:rPr>
          <w:szCs w:val="24"/>
        </w:rPr>
        <w:t>a</w:t>
      </w:r>
      <w:r w:rsidR="000F5C78" w:rsidRPr="00456AE1">
        <w:rPr>
          <w:szCs w:val="24"/>
        </w:rPr>
        <w:t xml:space="preserve">ccessible, </w:t>
      </w:r>
      <w:r w:rsidR="00A9558B" w:rsidRPr="00456AE1">
        <w:rPr>
          <w:szCs w:val="24"/>
        </w:rPr>
        <w:t>designate</w:t>
      </w:r>
      <w:r w:rsidR="000F5C78" w:rsidRPr="00456AE1">
        <w:rPr>
          <w:szCs w:val="24"/>
        </w:rPr>
        <w:t xml:space="preserve"> an internal Accessibility Coordinat</w:t>
      </w:r>
      <w:r w:rsidR="00A9558B" w:rsidRPr="00456AE1">
        <w:rPr>
          <w:szCs w:val="24"/>
        </w:rPr>
        <w:t>ion Team</w:t>
      </w:r>
      <w:r w:rsidR="000F5C78" w:rsidRPr="00456AE1">
        <w:rPr>
          <w:szCs w:val="24"/>
        </w:rPr>
        <w:t xml:space="preserve">, </w:t>
      </w:r>
      <w:r w:rsidR="00A9558B" w:rsidRPr="00456AE1">
        <w:rPr>
          <w:szCs w:val="24"/>
        </w:rPr>
        <w:t>retain</w:t>
      </w:r>
      <w:r w:rsidR="000F5C78" w:rsidRPr="00456AE1">
        <w:rPr>
          <w:szCs w:val="24"/>
        </w:rPr>
        <w:t xml:space="preserve"> an outside Accessibility Consultant,</w:t>
      </w:r>
      <w:r w:rsidR="00456AE1" w:rsidRPr="00456AE1">
        <w:rPr>
          <w:szCs w:val="24"/>
        </w:rPr>
        <w:t xml:space="preserve"> </w:t>
      </w:r>
      <w:r w:rsidR="000F5C78" w:rsidRPr="00456AE1">
        <w:rPr>
          <w:szCs w:val="24"/>
        </w:rPr>
        <w:t xml:space="preserve">administer accessibility training, refresher training, and annual training, </w:t>
      </w:r>
      <w:r w:rsidR="00A9558B" w:rsidRPr="00456AE1">
        <w:rPr>
          <w:szCs w:val="24"/>
        </w:rPr>
        <w:t xml:space="preserve">conduct both automated and end-user testing, </w:t>
      </w:r>
      <w:r w:rsidR="000F5C78" w:rsidRPr="00456AE1">
        <w:rPr>
          <w:szCs w:val="24"/>
        </w:rPr>
        <w:t xml:space="preserve">and more. </w:t>
      </w:r>
      <w:r w:rsidR="005C5895" w:rsidRPr="00456AE1">
        <w:rPr>
          <w:szCs w:val="24"/>
        </w:rPr>
        <w:t>N</w:t>
      </w:r>
      <w:r w:rsidR="0093504C" w:rsidRPr="00456AE1">
        <w:rPr>
          <w:szCs w:val="24"/>
        </w:rPr>
        <w:t>o</w:t>
      </w:r>
      <w:r w:rsidR="000F5C78" w:rsidRPr="00456AE1">
        <w:rPr>
          <w:szCs w:val="24"/>
        </w:rPr>
        <w:t xml:space="preserve"> greater judgment is </w:t>
      </w:r>
      <w:r w:rsidR="00BA3E9C" w:rsidRPr="00456AE1">
        <w:rPr>
          <w:szCs w:val="24"/>
        </w:rPr>
        <w:t>necessary</w:t>
      </w:r>
      <w:r w:rsidR="000F5C78" w:rsidRPr="00456AE1">
        <w:rPr>
          <w:szCs w:val="24"/>
        </w:rPr>
        <w:t xml:space="preserve"> </w:t>
      </w:r>
      <w:r w:rsidR="00A9558B" w:rsidRPr="00456AE1">
        <w:rPr>
          <w:szCs w:val="24"/>
        </w:rPr>
        <w:t>(or reasonably available)</w:t>
      </w:r>
      <w:r w:rsidR="0093504C" w:rsidRPr="00456AE1">
        <w:rPr>
          <w:szCs w:val="24"/>
        </w:rPr>
        <w:t>.</w:t>
      </w:r>
    </w:p>
    <w:p w14:paraId="711459A4" w14:textId="7F29B01B" w:rsidR="00D50DA0" w:rsidRPr="00BD316B" w:rsidRDefault="00D50DA0" w:rsidP="006C7448">
      <w:pPr>
        <w:pStyle w:val="ListParagraph"/>
        <w:keepNext/>
        <w:widowControl w:val="0"/>
        <w:numPr>
          <w:ilvl w:val="2"/>
          <w:numId w:val="4"/>
        </w:numPr>
        <w:spacing w:after="240"/>
        <w:ind w:left="2880" w:right="720" w:hanging="720"/>
        <w:contextualSpacing w:val="0"/>
        <w:rPr>
          <w:szCs w:val="24"/>
        </w:rPr>
      </w:pPr>
      <w:r w:rsidRPr="00BD316B">
        <w:rPr>
          <w:b/>
          <w:bCs/>
          <w:szCs w:val="24"/>
        </w:rPr>
        <w:t xml:space="preserve">Range </w:t>
      </w:r>
      <w:r w:rsidR="0038007D" w:rsidRPr="00BD316B">
        <w:rPr>
          <w:b/>
          <w:bCs/>
          <w:szCs w:val="24"/>
        </w:rPr>
        <w:t xml:space="preserve">Of </w:t>
      </w:r>
      <w:r w:rsidRPr="00BD316B">
        <w:rPr>
          <w:b/>
          <w:bCs/>
          <w:szCs w:val="24"/>
        </w:rPr>
        <w:t xml:space="preserve">Reasonableness </w:t>
      </w:r>
      <w:r w:rsidR="0038007D" w:rsidRPr="00BD316B">
        <w:rPr>
          <w:b/>
          <w:bCs/>
          <w:szCs w:val="24"/>
        </w:rPr>
        <w:t xml:space="preserve">Of </w:t>
      </w:r>
      <w:r w:rsidRPr="00BD316B">
        <w:rPr>
          <w:b/>
          <w:bCs/>
          <w:szCs w:val="24"/>
        </w:rPr>
        <w:t xml:space="preserve">Settlement </w:t>
      </w:r>
      <w:r w:rsidR="0038007D" w:rsidRPr="00BD316B">
        <w:rPr>
          <w:b/>
          <w:bCs/>
          <w:szCs w:val="24"/>
        </w:rPr>
        <w:t xml:space="preserve">In </w:t>
      </w:r>
      <w:r w:rsidRPr="00BD316B">
        <w:rPr>
          <w:b/>
          <w:bCs/>
          <w:szCs w:val="24"/>
        </w:rPr>
        <w:t xml:space="preserve">Light </w:t>
      </w:r>
      <w:r w:rsidR="0038007D" w:rsidRPr="00BD316B">
        <w:rPr>
          <w:b/>
          <w:bCs/>
          <w:szCs w:val="24"/>
        </w:rPr>
        <w:t xml:space="preserve">Of </w:t>
      </w:r>
      <w:r w:rsidRPr="00BD316B">
        <w:rPr>
          <w:b/>
          <w:bCs/>
          <w:szCs w:val="24"/>
        </w:rPr>
        <w:t>Best Possible Recovery</w:t>
      </w:r>
      <w:r w:rsidR="00F32913" w:rsidRPr="00BD316B">
        <w:rPr>
          <w:b/>
          <w:bCs/>
          <w:szCs w:val="24"/>
        </w:rPr>
        <w:t xml:space="preserve"> </w:t>
      </w:r>
      <w:r w:rsidR="0038007D" w:rsidRPr="00BD316B">
        <w:rPr>
          <w:b/>
          <w:bCs/>
          <w:szCs w:val="24"/>
        </w:rPr>
        <w:t xml:space="preserve">And </w:t>
      </w:r>
      <w:r w:rsidR="00F32913" w:rsidRPr="00BD316B">
        <w:rPr>
          <w:b/>
          <w:bCs/>
          <w:szCs w:val="24"/>
        </w:rPr>
        <w:t xml:space="preserve">All Attendant Risks </w:t>
      </w:r>
      <w:r w:rsidR="0038007D" w:rsidRPr="00BD316B">
        <w:rPr>
          <w:b/>
          <w:bCs/>
          <w:szCs w:val="24"/>
        </w:rPr>
        <w:t xml:space="preserve">Of </w:t>
      </w:r>
      <w:r w:rsidR="00F32913" w:rsidRPr="00BD316B">
        <w:rPr>
          <w:b/>
          <w:bCs/>
          <w:szCs w:val="24"/>
        </w:rPr>
        <w:t>Litigation</w:t>
      </w:r>
    </w:p>
    <w:p w14:paraId="65D14E10" w14:textId="083C0302" w:rsidR="00F32913" w:rsidRPr="00662BD5" w:rsidRDefault="006B317C" w:rsidP="00247AFC">
      <w:pPr>
        <w:widowControl w:val="0"/>
        <w:spacing w:line="480" w:lineRule="auto"/>
        <w:ind w:firstLine="720"/>
        <w:jc w:val="both"/>
        <w:rPr>
          <w:szCs w:val="24"/>
          <w:highlight w:val="yellow"/>
        </w:rPr>
      </w:pPr>
      <w:r w:rsidRPr="00BD316B">
        <w:rPr>
          <w:szCs w:val="24"/>
        </w:rPr>
        <w:t>“</w:t>
      </w:r>
      <w:r w:rsidR="00F32913" w:rsidRPr="00BD316B">
        <w:rPr>
          <w:szCs w:val="24"/>
        </w:rPr>
        <w:t xml:space="preserve">In evaluating the eighth and ninth </w:t>
      </w:r>
      <w:r w:rsidR="00F32913" w:rsidRPr="00BD316B">
        <w:rPr>
          <w:i/>
          <w:iCs/>
          <w:szCs w:val="24"/>
        </w:rPr>
        <w:t>Girsh</w:t>
      </w:r>
      <w:r w:rsidR="00F32913" w:rsidRPr="00BD316B">
        <w:rPr>
          <w:szCs w:val="24"/>
        </w:rPr>
        <w:t xml:space="preserve"> factors, </w:t>
      </w:r>
      <w:r w:rsidR="000644F8" w:rsidRPr="00BD316B">
        <w:rPr>
          <w:szCs w:val="24"/>
        </w:rPr>
        <w:t>[courts]</w:t>
      </w:r>
      <w:r w:rsidR="00F32913" w:rsidRPr="00BD316B">
        <w:rPr>
          <w:szCs w:val="24"/>
        </w:rPr>
        <w:t xml:space="preserve"> ask whether the settlement represents a good value for a weak case or a poor value for a strong case.</w:t>
      </w:r>
      <w:r w:rsidRPr="00BD316B">
        <w:rPr>
          <w:szCs w:val="24"/>
        </w:rPr>
        <w:t>”</w:t>
      </w:r>
      <w:r w:rsidR="00F32913" w:rsidRPr="00BD316B">
        <w:rPr>
          <w:szCs w:val="24"/>
        </w:rPr>
        <w:t xml:space="preserve"> </w:t>
      </w:r>
      <w:r w:rsidR="00F32913" w:rsidRPr="00BD316B">
        <w:rPr>
          <w:i/>
          <w:iCs/>
          <w:szCs w:val="24"/>
        </w:rPr>
        <w:t>In re NFL Players Concussion Injury Litig.</w:t>
      </w:r>
      <w:r w:rsidR="00F32913" w:rsidRPr="00BD316B">
        <w:rPr>
          <w:szCs w:val="24"/>
        </w:rPr>
        <w:t xml:space="preserve">, 821 F.3d at 440. </w:t>
      </w:r>
      <w:r w:rsidRPr="00BD316B">
        <w:rPr>
          <w:szCs w:val="24"/>
        </w:rPr>
        <w:t>“</w:t>
      </w:r>
      <w:r w:rsidR="00F32913" w:rsidRPr="00BD316B">
        <w:rPr>
          <w:szCs w:val="24"/>
        </w:rPr>
        <w:t>The</w:t>
      </w:r>
      <w:r w:rsidR="00BD316B" w:rsidRPr="00BD316B">
        <w:rPr>
          <w:szCs w:val="24"/>
        </w:rPr>
        <w:t>[se]</w:t>
      </w:r>
      <w:r w:rsidR="00F32913" w:rsidRPr="00BD316B">
        <w:rPr>
          <w:szCs w:val="24"/>
        </w:rPr>
        <w:t xml:space="preserve"> factors test two sides of the same coin: </w:t>
      </w:r>
      <w:r w:rsidR="00F32913" w:rsidRPr="00BD316B">
        <w:rPr>
          <w:szCs w:val="24"/>
        </w:rPr>
        <w:lastRenderedPageBreak/>
        <w:t>reasonableness in light of the best possible recovery and reasonableness in light of the risks the parties would face if the case went to trial.</w:t>
      </w:r>
      <w:r w:rsidRPr="00BD316B">
        <w:rPr>
          <w:szCs w:val="24"/>
        </w:rPr>
        <w:t>”</w:t>
      </w:r>
      <w:r w:rsidR="00F32913" w:rsidRPr="00BD316B">
        <w:rPr>
          <w:szCs w:val="24"/>
        </w:rPr>
        <w:t xml:space="preserve"> </w:t>
      </w:r>
      <w:r w:rsidR="00F32913" w:rsidRPr="00BD316B">
        <w:rPr>
          <w:i/>
          <w:iCs/>
          <w:szCs w:val="24"/>
        </w:rPr>
        <w:t>Id</w:t>
      </w:r>
      <w:r w:rsidR="00F32913" w:rsidRPr="00BD316B">
        <w:rPr>
          <w:szCs w:val="24"/>
        </w:rPr>
        <w:t xml:space="preserve">. </w:t>
      </w:r>
      <w:r w:rsidR="00CB7291">
        <w:rPr>
          <w:szCs w:val="24"/>
        </w:rPr>
        <w:t xml:space="preserve"> </w:t>
      </w:r>
      <w:r w:rsidR="00BD316B" w:rsidRPr="00BD316B">
        <w:rPr>
          <w:szCs w:val="24"/>
        </w:rPr>
        <w:t>Here, t</w:t>
      </w:r>
      <w:r w:rsidR="00D21333" w:rsidRPr="00BD316B">
        <w:rPr>
          <w:szCs w:val="24"/>
        </w:rPr>
        <w:t>he Agreement represents good value for any case. I</w:t>
      </w:r>
      <w:r w:rsidR="00F32913" w:rsidRPr="00BD316B">
        <w:rPr>
          <w:szCs w:val="24"/>
        </w:rPr>
        <w:t xml:space="preserve">f </w:t>
      </w:r>
      <w:r w:rsidR="008F37C0" w:rsidRPr="00BD316B">
        <w:rPr>
          <w:szCs w:val="24"/>
        </w:rPr>
        <w:t>Plaintiff</w:t>
      </w:r>
      <w:r w:rsidR="00F32913" w:rsidRPr="00BD316B">
        <w:rPr>
          <w:szCs w:val="24"/>
        </w:rPr>
        <w:t xml:space="preserve"> were successful at summary judgment or trial, </w:t>
      </w:r>
      <w:r w:rsidR="00B756F1" w:rsidRPr="00BD316B">
        <w:rPr>
          <w:szCs w:val="24"/>
        </w:rPr>
        <w:t>he</w:t>
      </w:r>
      <w:r w:rsidR="00F32913" w:rsidRPr="00BD316B">
        <w:rPr>
          <w:szCs w:val="24"/>
        </w:rPr>
        <w:t xml:space="preserve"> would be entitled </w:t>
      </w:r>
      <w:r w:rsidR="00BD316B" w:rsidRPr="00BD316B">
        <w:rPr>
          <w:szCs w:val="24"/>
        </w:rPr>
        <w:t xml:space="preserve">only </w:t>
      </w:r>
      <w:r w:rsidR="00F32913" w:rsidRPr="00BD316B">
        <w:rPr>
          <w:szCs w:val="24"/>
        </w:rPr>
        <w:t xml:space="preserve">to </w:t>
      </w:r>
      <w:r w:rsidR="00D21333" w:rsidRPr="00BD316B">
        <w:rPr>
          <w:szCs w:val="24"/>
        </w:rPr>
        <w:t xml:space="preserve">the </w:t>
      </w:r>
      <w:r w:rsidR="00F32913" w:rsidRPr="00BD316B">
        <w:rPr>
          <w:szCs w:val="24"/>
        </w:rPr>
        <w:t xml:space="preserve">injunctive relief the Court deemed appropriate. </w:t>
      </w:r>
      <w:r w:rsidR="00BD316B">
        <w:rPr>
          <w:szCs w:val="24"/>
        </w:rPr>
        <w:t>In making a request for such relief, Plaintiff would direct the Court to the settlement</w:t>
      </w:r>
      <w:r w:rsidR="00CB7291">
        <w:rPr>
          <w:szCs w:val="24"/>
        </w:rPr>
        <w:t>s</w:t>
      </w:r>
      <w:r w:rsidR="00BD316B">
        <w:rPr>
          <w:szCs w:val="24"/>
        </w:rPr>
        <w:t xml:space="preserve"> achieved by the DOJ and NFB in closely analogous cases and to the settlements approved in similar </w:t>
      </w:r>
      <w:r w:rsidR="00BD316B" w:rsidRPr="003A0ACC">
        <w:rPr>
          <w:szCs w:val="24"/>
        </w:rPr>
        <w:t xml:space="preserve">cases, </w:t>
      </w:r>
      <w:r w:rsidR="00BD316B" w:rsidRPr="003A0ACC">
        <w:rPr>
          <w:i/>
          <w:iCs/>
          <w:szCs w:val="24"/>
        </w:rPr>
        <w:t>see</w:t>
      </w:r>
      <w:r w:rsidR="00BD316B" w:rsidRPr="003A0ACC">
        <w:rPr>
          <w:szCs w:val="24"/>
        </w:rPr>
        <w:t xml:space="preserve"> Section (V)(B)(1)(</w:t>
      </w:r>
      <w:r w:rsidR="003A0ACC" w:rsidRPr="003A0ACC">
        <w:rPr>
          <w:szCs w:val="24"/>
        </w:rPr>
        <w:t>iv</w:t>
      </w:r>
      <w:r w:rsidR="00BD316B" w:rsidRPr="003A0ACC">
        <w:rPr>
          <w:szCs w:val="24"/>
        </w:rPr>
        <w:t xml:space="preserve">) </w:t>
      </w:r>
      <w:r w:rsidR="00BD316B" w:rsidRPr="003A0ACC">
        <w:rPr>
          <w:i/>
          <w:iCs/>
          <w:szCs w:val="24"/>
        </w:rPr>
        <w:t>supra</w:t>
      </w:r>
      <w:r w:rsidR="00BD316B" w:rsidRPr="003A0ACC">
        <w:rPr>
          <w:szCs w:val="24"/>
        </w:rPr>
        <w:t>,</w:t>
      </w:r>
      <w:r w:rsidR="00BD316B">
        <w:rPr>
          <w:szCs w:val="24"/>
        </w:rPr>
        <w:t xml:space="preserve"> which the </w:t>
      </w:r>
      <w:r w:rsidR="0056393B">
        <w:rPr>
          <w:szCs w:val="24"/>
        </w:rPr>
        <w:t>A</w:t>
      </w:r>
      <w:r w:rsidR="00BD316B">
        <w:rPr>
          <w:szCs w:val="24"/>
        </w:rPr>
        <w:t xml:space="preserve">greement tracks. Once again, because the Agreement exceeds or is comparable to the “best possible recovery” achieved by the DOJ, </w:t>
      </w:r>
      <w:r w:rsidR="00F94DDF">
        <w:rPr>
          <w:szCs w:val="24"/>
        </w:rPr>
        <w:t xml:space="preserve">the </w:t>
      </w:r>
      <w:r w:rsidR="00BD316B">
        <w:rPr>
          <w:szCs w:val="24"/>
        </w:rPr>
        <w:t xml:space="preserve">NFB, and in </w:t>
      </w:r>
      <w:r w:rsidR="0028503A">
        <w:rPr>
          <w:szCs w:val="24"/>
        </w:rPr>
        <w:t>similar approved settlements</w:t>
      </w:r>
      <w:r w:rsidR="00BD316B">
        <w:rPr>
          <w:szCs w:val="24"/>
        </w:rPr>
        <w:t xml:space="preserve">, the eighth and ninth </w:t>
      </w:r>
      <w:r w:rsidR="00BD316B" w:rsidRPr="00F94DDF">
        <w:rPr>
          <w:i/>
          <w:iCs/>
          <w:szCs w:val="24"/>
        </w:rPr>
        <w:t>Girsh</w:t>
      </w:r>
      <w:r w:rsidR="00BD316B">
        <w:rPr>
          <w:szCs w:val="24"/>
        </w:rPr>
        <w:t xml:space="preserve"> factors weigh in favor of approval.</w:t>
      </w:r>
    </w:p>
    <w:p w14:paraId="5F3EC97E" w14:textId="2275122D" w:rsidR="00D50DA0" w:rsidRPr="00F91905" w:rsidRDefault="0038007D" w:rsidP="006C7448">
      <w:pPr>
        <w:pStyle w:val="ListParagraph"/>
        <w:keepNext/>
        <w:widowControl w:val="0"/>
        <w:numPr>
          <w:ilvl w:val="2"/>
          <w:numId w:val="4"/>
        </w:numPr>
        <w:spacing w:after="240"/>
        <w:ind w:left="2880" w:right="720" w:hanging="720"/>
        <w:contextualSpacing w:val="0"/>
        <w:rPr>
          <w:b/>
          <w:bCs/>
          <w:szCs w:val="24"/>
        </w:rPr>
      </w:pPr>
      <w:r w:rsidRPr="00F91905">
        <w:rPr>
          <w:b/>
          <w:bCs/>
          <w:i/>
          <w:iCs/>
          <w:szCs w:val="24"/>
        </w:rPr>
        <w:t>Prudential</w:t>
      </w:r>
      <w:r w:rsidRPr="00F91905">
        <w:rPr>
          <w:b/>
          <w:bCs/>
          <w:szCs w:val="24"/>
        </w:rPr>
        <w:t xml:space="preserve"> Factors</w:t>
      </w:r>
    </w:p>
    <w:p w14:paraId="14FA61FC" w14:textId="00795406" w:rsidR="001A60E7" w:rsidRPr="00662BD5" w:rsidRDefault="005C5895" w:rsidP="006C7448">
      <w:pPr>
        <w:widowControl w:val="0"/>
        <w:spacing w:line="480" w:lineRule="auto"/>
        <w:ind w:firstLine="720"/>
        <w:jc w:val="both"/>
        <w:rPr>
          <w:szCs w:val="24"/>
          <w:highlight w:val="yellow"/>
        </w:rPr>
      </w:pPr>
      <w:r w:rsidRPr="00F91905">
        <w:rPr>
          <w:szCs w:val="24"/>
        </w:rPr>
        <w:t>While m</w:t>
      </w:r>
      <w:r w:rsidR="001A60E7" w:rsidRPr="00F91905">
        <w:rPr>
          <w:szCs w:val="24"/>
        </w:rPr>
        <w:t xml:space="preserve">any of the </w:t>
      </w:r>
      <w:r w:rsidR="001A60E7" w:rsidRPr="00F91905">
        <w:rPr>
          <w:i/>
          <w:iCs/>
          <w:szCs w:val="24"/>
        </w:rPr>
        <w:t xml:space="preserve">Prudential </w:t>
      </w:r>
      <w:r w:rsidR="001A60E7" w:rsidRPr="00F91905">
        <w:rPr>
          <w:szCs w:val="24"/>
        </w:rPr>
        <w:t>factors are irrelevant to action</w:t>
      </w:r>
      <w:r w:rsidRPr="00F91905">
        <w:rPr>
          <w:szCs w:val="24"/>
        </w:rPr>
        <w:t>s</w:t>
      </w:r>
      <w:r w:rsidR="001A60E7" w:rsidRPr="00F91905">
        <w:rPr>
          <w:szCs w:val="24"/>
        </w:rPr>
        <w:t xml:space="preserve"> seeking injunctive relief, those that are </w:t>
      </w:r>
      <w:r w:rsidR="00077CBB">
        <w:rPr>
          <w:szCs w:val="24"/>
        </w:rPr>
        <w:t>relevant here</w:t>
      </w:r>
      <w:r w:rsidR="00ED1F0D" w:rsidRPr="00F91905">
        <w:rPr>
          <w:szCs w:val="24"/>
        </w:rPr>
        <w:t xml:space="preserve"> </w:t>
      </w:r>
      <w:r w:rsidR="003A08EC" w:rsidRPr="00F91905">
        <w:rPr>
          <w:szCs w:val="24"/>
        </w:rPr>
        <w:t xml:space="preserve">weigh in favor of </w:t>
      </w:r>
      <w:r w:rsidR="00ED1F0D" w:rsidRPr="00F91905">
        <w:rPr>
          <w:szCs w:val="24"/>
        </w:rPr>
        <w:t>approval</w:t>
      </w:r>
      <w:r w:rsidR="003A08EC" w:rsidRPr="00F91905">
        <w:rPr>
          <w:szCs w:val="24"/>
        </w:rPr>
        <w:t xml:space="preserve">. </w:t>
      </w:r>
      <w:r w:rsidR="001A60E7" w:rsidRPr="00F91905">
        <w:rPr>
          <w:szCs w:val="24"/>
        </w:rPr>
        <w:t xml:space="preserve">The third </w:t>
      </w:r>
      <w:r w:rsidR="001A60E7" w:rsidRPr="00F91905">
        <w:rPr>
          <w:i/>
          <w:iCs/>
          <w:szCs w:val="24"/>
        </w:rPr>
        <w:t>Prudential</w:t>
      </w:r>
      <w:r w:rsidR="001A60E7" w:rsidRPr="00F91905">
        <w:rPr>
          <w:szCs w:val="24"/>
        </w:rPr>
        <w:t xml:space="preserve"> factor compares the </w:t>
      </w:r>
      <w:r w:rsidR="006B317C" w:rsidRPr="00F91905">
        <w:rPr>
          <w:szCs w:val="24"/>
        </w:rPr>
        <w:t>“</w:t>
      </w:r>
      <w:r w:rsidR="001A60E7" w:rsidRPr="00F91905">
        <w:rPr>
          <w:szCs w:val="24"/>
        </w:rPr>
        <w:t xml:space="preserve">results achieved by the settlement for individual class </w:t>
      </w:r>
      <w:r w:rsidR="001B5CAA" w:rsidRPr="00F91905">
        <w:rPr>
          <w:szCs w:val="24"/>
        </w:rPr>
        <w:t>. . .</w:t>
      </w:r>
      <w:r w:rsidR="001A60E7" w:rsidRPr="00F91905">
        <w:rPr>
          <w:szCs w:val="24"/>
        </w:rPr>
        <w:t xml:space="preserve"> members and the results achieved—or likely to be achieved—for other claimants</w:t>
      </w:r>
      <w:r w:rsidR="001B5CAA" w:rsidRPr="00F91905">
        <w:rPr>
          <w:szCs w:val="24"/>
        </w:rPr>
        <w:t>[</w:t>
      </w:r>
      <w:r w:rsidR="001A60E7" w:rsidRPr="00F91905">
        <w:rPr>
          <w:szCs w:val="24"/>
        </w:rPr>
        <w:t>.</w:t>
      </w:r>
      <w:r w:rsidR="001B5CAA" w:rsidRPr="00F91905">
        <w:rPr>
          <w:szCs w:val="24"/>
        </w:rPr>
        <w:t>]</w:t>
      </w:r>
      <w:r w:rsidR="006B317C" w:rsidRPr="00F91905">
        <w:rPr>
          <w:szCs w:val="24"/>
        </w:rPr>
        <w:t>”</w:t>
      </w:r>
      <w:r w:rsidR="001A60E7" w:rsidRPr="00F91905">
        <w:rPr>
          <w:szCs w:val="24"/>
        </w:rPr>
        <w:t xml:space="preserve"> </w:t>
      </w:r>
      <w:r w:rsidRPr="00F91905">
        <w:rPr>
          <w:i/>
          <w:iCs/>
          <w:szCs w:val="24"/>
        </w:rPr>
        <w:t>Prudential</w:t>
      </w:r>
      <w:r w:rsidRPr="00F91905">
        <w:rPr>
          <w:szCs w:val="24"/>
        </w:rPr>
        <w:t xml:space="preserve">, 148 F.3d at 323. </w:t>
      </w:r>
      <w:r w:rsidR="001A60E7" w:rsidRPr="00F91905">
        <w:rPr>
          <w:szCs w:val="24"/>
        </w:rPr>
        <w:t xml:space="preserve">As </w:t>
      </w:r>
      <w:r w:rsidR="001B5CAA" w:rsidRPr="00F91905">
        <w:rPr>
          <w:szCs w:val="24"/>
        </w:rPr>
        <w:t>explained</w:t>
      </w:r>
      <w:r w:rsidR="001A60E7" w:rsidRPr="00F91905">
        <w:rPr>
          <w:szCs w:val="24"/>
        </w:rPr>
        <w:t xml:space="preserve"> </w:t>
      </w:r>
      <w:r w:rsidR="001B5CAA" w:rsidRPr="00F91905">
        <w:rPr>
          <w:szCs w:val="24"/>
        </w:rPr>
        <w:t>earlier</w:t>
      </w:r>
      <w:r w:rsidR="001A60E7" w:rsidRPr="00F91905">
        <w:rPr>
          <w:szCs w:val="24"/>
        </w:rPr>
        <w:t xml:space="preserve">, no other claimant is likely to achieve </w:t>
      </w:r>
      <w:r w:rsidR="001B5CAA" w:rsidRPr="00F91905">
        <w:rPr>
          <w:szCs w:val="24"/>
        </w:rPr>
        <w:t xml:space="preserve">any </w:t>
      </w:r>
      <w:r w:rsidR="001A60E7" w:rsidRPr="00F91905">
        <w:rPr>
          <w:szCs w:val="24"/>
        </w:rPr>
        <w:t xml:space="preserve">better injunctive relief than the Agreement provides. </w:t>
      </w:r>
      <w:r w:rsidR="001B5CAA" w:rsidRPr="00F91905">
        <w:rPr>
          <w:szCs w:val="24"/>
        </w:rPr>
        <w:t xml:space="preserve">  </w:t>
      </w:r>
      <w:r w:rsidR="006B317C" w:rsidRPr="00F91905">
        <w:rPr>
          <w:szCs w:val="24"/>
        </w:rPr>
        <w:t xml:space="preserve">The fifth </w:t>
      </w:r>
      <w:r w:rsidR="006B317C" w:rsidRPr="00F91905">
        <w:rPr>
          <w:i/>
          <w:iCs/>
          <w:szCs w:val="24"/>
        </w:rPr>
        <w:t>Prudential</w:t>
      </w:r>
      <w:r w:rsidR="006B317C" w:rsidRPr="00F91905">
        <w:rPr>
          <w:szCs w:val="24"/>
        </w:rPr>
        <w:t xml:space="preserve"> factor considers “whether any provisions for attorneys’ fees are reasonable</w:t>
      </w:r>
      <w:r w:rsidR="001B5CAA" w:rsidRPr="00F91905">
        <w:rPr>
          <w:szCs w:val="24"/>
        </w:rPr>
        <w:t>[</w:t>
      </w:r>
      <w:r w:rsidR="006B317C" w:rsidRPr="00F91905">
        <w:rPr>
          <w:szCs w:val="24"/>
        </w:rPr>
        <w:t>.</w:t>
      </w:r>
      <w:r w:rsidR="001B5CAA" w:rsidRPr="00F91905">
        <w:rPr>
          <w:szCs w:val="24"/>
        </w:rPr>
        <w:t>]</w:t>
      </w:r>
      <w:r w:rsidR="006B317C" w:rsidRPr="00F91905">
        <w:rPr>
          <w:szCs w:val="24"/>
        </w:rPr>
        <w:t xml:space="preserve">” </w:t>
      </w:r>
      <w:r w:rsidRPr="00F91905">
        <w:rPr>
          <w:i/>
          <w:iCs/>
          <w:szCs w:val="24"/>
        </w:rPr>
        <w:t>Id</w:t>
      </w:r>
      <w:r w:rsidRPr="00F91905">
        <w:rPr>
          <w:szCs w:val="24"/>
        </w:rPr>
        <w:t xml:space="preserve">. </w:t>
      </w:r>
      <w:r w:rsidR="001B5CAA" w:rsidRPr="00F91905">
        <w:rPr>
          <w:szCs w:val="24"/>
        </w:rPr>
        <w:t>Defendant has agreed to pay Plaintiff’s attorneys’ fees and costs in the amount of $</w:t>
      </w:r>
      <w:r w:rsidR="00F91905" w:rsidRPr="00F91905">
        <w:rPr>
          <w:szCs w:val="24"/>
        </w:rPr>
        <w:t>73</w:t>
      </w:r>
      <w:r w:rsidR="001B5CAA" w:rsidRPr="00F91905">
        <w:rPr>
          <w:szCs w:val="24"/>
        </w:rPr>
        <w:t>,</w:t>
      </w:r>
      <w:r w:rsidR="00F91905" w:rsidRPr="00F91905">
        <w:rPr>
          <w:szCs w:val="24"/>
        </w:rPr>
        <w:t>5</w:t>
      </w:r>
      <w:r w:rsidR="001B5CAA" w:rsidRPr="00F91905">
        <w:rPr>
          <w:szCs w:val="24"/>
        </w:rPr>
        <w:t>00.00. (</w:t>
      </w:r>
      <w:r w:rsidR="00F91905" w:rsidRPr="00F91905">
        <w:rPr>
          <w:szCs w:val="24"/>
        </w:rPr>
        <w:t>Ex</w:t>
      </w:r>
      <w:r w:rsidR="001B5CAA" w:rsidRPr="00F91905">
        <w:rPr>
          <w:szCs w:val="24"/>
        </w:rPr>
        <w:t>. 1, § 2</w:t>
      </w:r>
      <w:r w:rsidR="00F91905" w:rsidRPr="00F91905">
        <w:rPr>
          <w:szCs w:val="24"/>
        </w:rPr>
        <w:t>3</w:t>
      </w:r>
      <w:r w:rsidR="00F96860" w:rsidRPr="00F91905">
        <w:rPr>
          <w:szCs w:val="24"/>
        </w:rPr>
        <w:t xml:space="preserve">.) </w:t>
      </w:r>
      <w:r w:rsidR="00F91905">
        <w:rPr>
          <w:szCs w:val="24"/>
        </w:rPr>
        <w:t>A</w:t>
      </w:r>
      <w:r w:rsidR="00F16243" w:rsidRPr="00F91905">
        <w:rPr>
          <w:szCs w:val="24"/>
        </w:rPr>
        <w:t xml:space="preserve"> </w:t>
      </w:r>
      <w:r w:rsidR="00F96860" w:rsidRPr="00F91905">
        <w:rPr>
          <w:szCs w:val="24"/>
        </w:rPr>
        <w:t>forthcoming fee petition</w:t>
      </w:r>
      <w:r w:rsidR="006B317C" w:rsidRPr="00F91905">
        <w:rPr>
          <w:szCs w:val="24"/>
        </w:rPr>
        <w:t xml:space="preserve"> </w:t>
      </w:r>
      <w:r w:rsidR="00F91905" w:rsidRPr="00F91905">
        <w:rPr>
          <w:szCs w:val="24"/>
        </w:rPr>
        <w:t xml:space="preserve">will </w:t>
      </w:r>
      <w:r w:rsidR="00F96860" w:rsidRPr="00F91905">
        <w:rPr>
          <w:szCs w:val="24"/>
        </w:rPr>
        <w:t xml:space="preserve">offer </w:t>
      </w:r>
      <w:r w:rsidR="006B317C" w:rsidRPr="00F91905">
        <w:rPr>
          <w:szCs w:val="24"/>
        </w:rPr>
        <w:t xml:space="preserve">an overview of Plaintiff’s fees </w:t>
      </w:r>
      <w:r w:rsidR="00F96860" w:rsidRPr="00F91905">
        <w:rPr>
          <w:szCs w:val="24"/>
        </w:rPr>
        <w:t>and costs</w:t>
      </w:r>
      <w:r w:rsidR="006B317C" w:rsidRPr="00F91905">
        <w:rPr>
          <w:szCs w:val="24"/>
        </w:rPr>
        <w:t xml:space="preserve">. </w:t>
      </w:r>
      <w:r w:rsidR="00F91905" w:rsidRPr="00F91905">
        <w:rPr>
          <w:szCs w:val="24"/>
        </w:rPr>
        <w:t>Since</w:t>
      </w:r>
      <w:r w:rsidR="006B317C" w:rsidRPr="00F91905">
        <w:rPr>
          <w:szCs w:val="24"/>
        </w:rPr>
        <w:t xml:space="preserve"> the petition remains subject to the Court’s approval, this factor does not weigh against settlement.</w:t>
      </w:r>
    </w:p>
    <w:p w14:paraId="60D58E2A" w14:textId="2A8828AF" w:rsidR="006353AF" w:rsidRPr="006B6BEE" w:rsidRDefault="00803BC2" w:rsidP="006C7448">
      <w:pPr>
        <w:pStyle w:val="ListParagraph"/>
        <w:keepNext/>
        <w:widowControl w:val="0"/>
        <w:numPr>
          <w:ilvl w:val="0"/>
          <w:numId w:val="4"/>
        </w:numPr>
        <w:spacing w:after="240"/>
        <w:ind w:right="720" w:hanging="720"/>
        <w:contextualSpacing w:val="0"/>
        <w:rPr>
          <w:b/>
          <w:bCs/>
          <w:szCs w:val="24"/>
        </w:rPr>
      </w:pPr>
      <w:r w:rsidRPr="006B6BEE">
        <w:rPr>
          <w:b/>
          <w:bCs/>
          <w:szCs w:val="24"/>
        </w:rPr>
        <w:t xml:space="preserve">The </w:t>
      </w:r>
      <w:r w:rsidR="006B6BEE" w:rsidRPr="006B6BEE">
        <w:rPr>
          <w:b/>
          <w:bCs/>
          <w:szCs w:val="24"/>
        </w:rPr>
        <w:t xml:space="preserve">Proposed </w:t>
      </w:r>
      <w:r w:rsidRPr="006B6BEE">
        <w:rPr>
          <w:b/>
          <w:bCs/>
          <w:szCs w:val="24"/>
        </w:rPr>
        <w:t xml:space="preserve">Notice </w:t>
      </w:r>
      <w:r w:rsidR="0038007D" w:rsidRPr="006B6BEE">
        <w:rPr>
          <w:b/>
          <w:bCs/>
          <w:szCs w:val="24"/>
        </w:rPr>
        <w:t xml:space="preserve">And </w:t>
      </w:r>
      <w:r w:rsidRPr="006B6BEE">
        <w:rPr>
          <w:b/>
          <w:bCs/>
          <w:szCs w:val="24"/>
        </w:rPr>
        <w:t>Notice Plan Satisf</w:t>
      </w:r>
      <w:r w:rsidR="006B6BEE" w:rsidRPr="006B6BEE">
        <w:rPr>
          <w:b/>
          <w:bCs/>
          <w:szCs w:val="24"/>
        </w:rPr>
        <w:t>y</w:t>
      </w:r>
      <w:r w:rsidR="006353AF" w:rsidRPr="006B6BEE">
        <w:rPr>
          <w:b/>
          <w:bCs/>
          <w:szCs w:val="24"/>
        </w:rPr>
        <w:t xml:space="preserve"> </w:t>
      </w:r>
      <w:r w:rsidR="006B6BEE" w:rsidRPr="006B6BEE">
        <w:rPr>
          <w:b/>
          <w:bCs/>
          <w:szCs w:val="24"/>
        </w:rPr>
        <w:t xml:space="preserve">The Requirements </w:t>
      </w:r>
      <w:r w:rsidR="00E66A8A">
        <w:rPr>
          <w:b/>
          <w:bCs/>
          <w:szCs w:val="24"/>
        </w:rPr>
        <w:t>O</w:t>
      </w:r>
      <w:r w:rsidR="006B6BEE" w:rsidRPr="006B6BEE">
        <w:rPr>
          <w:b/>
          <w:bCs/>
          <w:szCs w:val="24"/>
        </w:rPr>
        <w:t xml:space="preserve">f </w:t>
      </w:r>
      <w:r w:rsidR="006353AF" w:rsidRPr="006B6BEE">
        <w:rPr>
          <w:b/>
          <w:bCs/>
          <w:szCs w:val="24"/>
        </w:rPr>
        <w:t xml:space="preserve">Rule </w:t>
      </w:r>
      <w:r w:rsidR="0038007D" w:rsidRPr="006B6BEE">
        <w:rPr>
          <w:b/>
          <w:bCs/>
          <w:szCs w:val="24"/>
        </w:rPr>
        <w:t>23(</w:t>
      </w:r>
      <w:r w:rsidR="00FF6BA9" w:rsidRPr="006B6BEE">
        <w:rPr>
          <w:b/>
          <w:bCs/>
          <w:szCs w:val="24"/>
        </w:rPr>
        <w:t>e</w:t>
      </w:r>
      <w:r w:rsidR="0038007D" w:rsidRPr="006B6BEE">
        <w:rPr>
          <w:b/>
          <w:bCs/>
          <w:szCs w:val="24"/>
        </w:rPr>
        <w:t xml:space="preserve">) And </w:t>
      </w:r>
      <w:r w:rsidR="00FF6BA9" w:rsidRPr="006B6BEE">
        <w:rPr>
          <w:b/>
          <w:bCs/>
          <w:szCs w:val="24"/>
        </w:rPr>
        <w:t>Due Process</w:t>
      </w:r>
    </w:p>
    <w:p w14:paraId="580CD1A5" w14:textId="3D5F8288" w:rsidR="00554FD4" w:rsidRPr="00B637DE" w:rsidRDefault="00246116" w:rsidP="006C7448">
      <w:pPr>
        <w:widowControl w:val="0"/>
        <w:spacing w:line="480" w:lineRule="auto"/>
        <w:ind w:firstLine="720"/>
        <w:jc w:val="both"/>
        <w:rPr>
          <w:szCs w:val="24"/>
        </w:rPr>
      </w:pPr>
      <w:r w:rsidRPr="00B637DE">
        <w:rPr>
          <w:szCs w:val="24"/>
        </w:rPr>
        <w:t>“T</w:t>
      </w:r>
      <w:r w:rsidR="006353AF" w:rsidRPr="00B637DE">
        <w:rPr>
          <w:szCs w:val="24"/>
        </w:rPr>
        <w:t xml:space="preserve">he court must direct notice </w:t>
      </w:r>
      <w:r w:rsidR="00242289" w:rsidRPr="00B637DE">
        <w:rPr>
          <w:szCs w:val="24"/>
        </w:rPr>
        <w:t xml:space="preserve">[of </w:t>
      </w:r>
      <w:r w:rsidRPr="00B637DE">
        <w:rPr>
          <w:szCs w:val="24"/>
        </w:rPr>
        <w:t xml:space="preserve">a proposed </w:t>
      </w:r>
      <w:r w:rsidR="00AC5A07" w:rsidRPr="00B637DE">
        <w:rPr>
          <w:szCs w:val="24"/>
        </w:rPr>
        <w:t xml:space="preserve">class </w:t>
      </w:r>
      <w:r w:rsidR="00242289" w:rsidRPr="00B637DE">
        <w:rPr>
          <w:szCs w:val="24"/>
        </w:rPr>
        <w:t>settlement] in a reasonable manner to all class members who would be bound by the proposal</w:t>
      </w:r>
      <w:r w:rsidR="00503295" w:rsidRPr="00B637DE">
        <w:rPr>
          <w:szCs w:val="24"/>
        </w:rPr>
        <w:t>[</w:t>
      </w:r>
      <w:r w:rsidR="00242289" w:rsidRPr="00B637DE">
        <w:rPr>
          <w:szCs w:val="24"/>
        </w:rPr>
        <w:t>.</w:t>
      </w:r>
      <w:r w:rsidR="00503295" w:rsidRPr="00B637DE">
        <w:rPr>
          <w:szCs w:val="24"/>
        </w:rPr>
        <w:t>]</w:t>
      </w:r>
      <w:r w:rsidR="00242289" w:rsidRPr="00B637DE">
        <w:rPr>
          <w:szCs w:val="24"/>
        </w:rPr>
        <w:t xml:space="preserve">” Fed. R. Civ. P. 23(e). Unlike </w:t>
      </w:r>
      <w:r w:rsidR="006F7073" w:rsidRPr="00B637DE">
        <w:rPr>
          <w:szCs w:val="24"/>
        </w:rPr>
        <w:t>those</w:t>
      </w:r>
      <w:r w:rsidR="00242289" w:rsidRPr="00B637DE">
        <w:rPr>
          <w:szCs w:val="24"/>
        </w:rPr>
        <w:t xml:space="preserve"> under Rule 23(b)(3), </w:t>
      </w:r>
      <w:r w:rsidR="006F7073" w:rsidRPr="00B637DE">
        <w:rPr>
          <w:szCs w:val="24"/>
        </w:rPr>
        <w:t>class actions</w:t>
      </w:r>
      <w:r w:rsidR="00511590" w:rsidRPr="00B637DE">
        <w:rPr>
          <w:szCs w:val="24"/>
        </w:rPr>
        <w:t xml:space="preserve"> </w:t>
      </w:r>
      <w:r w:rsidR="00242289" w:rsidRPr="00B637DE">
        <w:rPr>
          <w:szCs w:val="24"/>
        </w:rPr>
        <w:t xml:space="preserve">certified under Rule 23(b)(2) contain “no rigid rules to determine </w:t>
      </w:r>
      <w:r w:rsidR="00242289" w:rsidRPr="00B637DE">
        <w:rPr>
          <w:szCs w:val="24"/>
        </w:rPr>
        <w:lastRenderedPageBreak/>
        <w:t xml:space="preserve">whether a settlement notice to class members satisfies constitutional and Rule 23(e) requirements.” </w:t>
      </w:r>
      <w:r w:rsidR="006D2AF5" w:rsidRPr="00B637DE">
        <w:rPr>
          <w:szCs w:val="24"/>
        </w:rPr>
        <w:t xml:space="preserve">William </w:t>
      </w:r>
      <w:r w:rsidR="00F36A65" w:rsidRPr="00B637DE">
        <w:rPr>
          <w:szCs w:val="24"/>
        </w:rPr>
        <w:t xml:space="preserve">B. </w:t>
      </w:r>
      <w:r w:rsidR="006D2AF5" w:rsidRPr="00B637DE">
        <w:rPr>
          <w:szCs w:val="24"/>
        </w:rPr>
        <w:t>Rubenstein</w:t>
      </w:r>
      <w:r w:rsidR="00242289" w:rsidRPr="00B637DE">
        <w:rPr>
          <w:szCs w:val="24"/>
        </w:rPr>
        <w:t>,</w:t>
      </w:r>
      <w:r w:rsidR="006D2AF5" w:rsidRPr="00B637DE">
        <w:rPr>
          <w:szCs w:val="24"/>
        </w:rPr>
        <w:t xml:space="preserve"> 3</w:t>
      </w:r>
      <w:r w:rsidR="00242289" w:rsidRPr="00B637DE">
        <w:rPr>
          <w:szCs w:val="24"/>
        </w:rPr>
        <w:t xml:space="preserve"> </w:t>
      </w:r>
      <w:r w:rsidR="00242289" w:rsidRPr="00B637DE">
        <w:rPr>
          <w:i/>
          <w:iCs/>
          <w:szCs w:val="24"/>
        </w:rPr>
        <w:t>Newberg on Class Actions</w:t>
      </w:r>
      <w:r w:rsidR="00242289" w:rsidRPr="00B637DE">
        <w:rPr>
          <w:szCs w:val="24"/>
        </w:rPr>
        <w:t xml:space="preserve"> § 8:15 (</w:t>
      </w:r>
      <w:r w:rsidR="00F36A65" w:rsidRPr="00B637DE">
        <w:rPr>
          <w:szCs w:val="24"/>
        </w:rPr>
        <w:t>6</w:t>
      </w:r>
      <w:r w:rsidR="00242289" w:rsidRPr="00B637DE">
        <w:rPr>
          <w:szCs w:val="24"/>
        </w:rPr>
        <w:t xml:space="preserve">th ed. </w:t>
      </w:r>
      <w:r w:rsidR="00F36A65" w:rsidRPr="00B637DE">
        <w:rPr>
          <w:szCs w:val="24"/>
        </w:rPr>
        <w:t>2022</w:t>
      </w:r>
      <w:r w:rsidR="00242289" w:rsidRPr="00B637DE">
        <w:rPr>
          <w:szCs w:val="24"/>
        </w:rPr>
        <w:t xml:space="preserve">); </w:t>
      </w:r>
      <w:bookmarkStart w:id="11" w:name="_Hlk114582069"/>
      <w:r w:rsidR="00242289" w:rsidRPr="00B637DE">
        <w:rPr>
          <w:szCs w:val="24"/>
        </w:rPr>
        <w:t>Fed. R. Civ. P. 23(c)(2)</w:t>
      </w:r>
      <w:bookmarkEnd w:id="11"/>
      <w:r w:rsidR="00242289" w:rsidRPr="00B637DE">
        <w:rPr>
          <w:szCs w:val="24"/>
        </w:rPr>
        <w:t xml:space="preserve">. In cases certified under Rule 23(b)(2), “the stringent requirement of Rule 23(c)(2) that members of the class receive the ‘best notice practicable under the circumstances, including individual notice to all members who can be identified through reasonable efforts,’ is inapplicable.” </w:t>
      </w:r>
      <w:bookmarkStart w:id="12" w:name="_Hlk114582310"/>
      <w:r w:rsidR="00242289" w:rsidRPr="00B637DE">
        <w:rPr>
          <w:i/>
          <w:iCs/>
          <w:szCs w:val="24"/>
        </w:rPr>
        <w:t>Kaplan v. Chertoff</w:t>
      </w:r>
      <w:r w:rsidR="00242289" w:rsidRPr="00B637DE">
        <w:rPr>
          <w:szCs w:val="24"/>
        </w:rPr>
        <w:t xml:space="preserve">, </w:t>
      </w:r>
      <w:r w:rsidR="005872D9" w:rsidRPr="00B637DE">
        <w:rPr>
          <w:szCs w:val="24"/>
        </w:rPr>
        <w:t>No. 06-cv-05304, 2008 U.S. Dist. LEXIS 5082, at *38-39</w:t>
      </w:r>
      <w:r w:rsidR="00242289" w:rsidRPr="00B637DE">
        <w:rPr>
          <w:szCs w:val="24"/>
        </w:rPr>
        <w:t xml:space="preserve"> (E.D. Pa. Jan. 24, 2008)</w:t>
      </w:r>
      <w:bookmarkEnd w:id="12"/>
      <w:r w:rsidR="00242289" w:rsidRPr="00B637DE">
        <w:rPr>
          <w:szCs w:val="24"/>
        </w:rPr>
        <w:t xml:space="preserve"> (</w:t>
      </w:r>
      <w:r w:rsidR="005872D9" w:rsidRPr="00B637DE">
        <w:rPr>
          <w:szCs w:val="24"/>
        </w:rPr>
        <w:t xml:space="preserve">quoting </w:t>
      </w:r>
      <w:r w:rsidR="00242289" w:rsidRPr="00B637DE">
        <w:rPr>
          <w:i/>
          <w:iCs/>
          <w:szCs w:val="24"/>
        </w:rPr>
        <w:t>Walsh</w:t>
      </w:r>
      <w:r w:rsidR="00242289" w:rsidRPr="00B637DE">
        <w:rPr>
          <w:szCs w:val="24"/>
        </w:rPr>
        <w:t xml:space="preserve">, 726 F.2d </w:t>
      </w:r>
      <w:r w:rsidR="00F164E6" w:rsidRPr="00B637DE">
        <w:rPr>
          <w:szCs w:val="24"/>
        </w:rPr>
        <w:t xml:space="preserve">at </w:t>
      </w:r>
      <w:r w:rsidR="00242289" w:rsidRPr="00B637DE">
        <w:rPr>
          <w:szCs w:val="24"/>
        </w:rPr>
        <w:t>962</w:t>
      </w:r>
      <w:r w:rsidR="004F3CA6" w:rsidRPr="00B637DE">
        <w:rPr>
          <w:szCs w:val="24"/>
        </w:rPr>
        <w:t>)</w:t>
      </w:r>
      <w:r w:rsidR="00242289" w:rsidRPr="00B637DE">
        <w:rPr>
          <w:szCs w:val="24"/>
        </w:rPr>
        <w:t xml:space="preserve">. “Rule 23(e) makes some form of post-settlement notice mandatory, although the form of notice is discretionary because Rule[23](b)(2) classes are cohesive in nature.” </w:t>
      </w:r>
      <w:r w:rsidR="00242289" w:rsidRPr="00B637DE">
        <w:rPr>
          <w:i/>
          <w:iCs/>
          <w:szCs w:val="24"/>
        </w:rPr>
        <w:t>Id</w:t>
      </w:r>
      <w:r w:rsidR="00242289" w:rsidRPr="00B637DE">
        <w:rPr>
          <w:szCs w:val="24"/>
        </w:rPr>
        <w:t xml:space="preserve">. </w:t>
      </w:r>
      <w:r w:rsidR="00871545" w:rsidRPr="00B637DE">
        <w:rPr>
          <w:szCs w:val="24"/>
        </w:rPr>
        <w:t xml:space="preserve">at *39 (alterations omitted) </w:t>
      </w:r>
      <w:r w:rsidR="00242289" w:rsidRPr="00B637DE">
        <w:rPr>
          <w:szCs w:val="24"/>
        </w:rPr>
        <w:t>(</w:t>
      </w:r>
      <w:r w:rsidR="00871545" w:rsidRPr="00B637DE">
        <w:rPr>
          <w:szCs w:val="24"/>
        </w:rPr>
        <w:t xml:space="preserve">quoting </w:t>
      </w:r>
      <w:r w:rsidR="00871545" w:rsidRPr="00B637DE">
        <w:rPr>
          <w:i/>
          <w:iCs/>
          <w:szCs w:val="24"/>
        </w:rPr>
        <w:t>Walsh</w:t>
      </w:r>
      <w:r w:rsidR="00871545" w:rsidRPr="00B637DE">
        <w:rPr>
          <w:szCs w:val="24"/>
        </w:rPr>
        <w:t>, 726 F.2d at 962</w:t>
      </w:r>
      <w:r w:rsidR="003C5FD1" w:rsidRPr="00B637DE">
        <w:rPr>
          <w:szCs w:val="24"/>
        </w:rPr>
        <w:t>-63</w:t>
      </w:r>
      <w:r w:rsidR="00871545" w:rsidRPr="00B637DE">
        <w:rPr>
          <w:szCs w:val="24"/>
        </w:rPr>
        <w:t>)</w:t>
      </w:r>
      <w:r w:rsidR="00242289" w:rsidRPr="00B637DE">
        <w:rPr>
          <w:szCs w:val="24"/>
        </w:rPr>
        <w:t xml:space="preserve">; </w:t>
      </w:r>
      <w:r w:rsidR="00242289" w:rsidRPr="00B637DE">
        <w:rPr>
          <w:i/>
          <w:iCs/>
          <w:szCs w:val="24"/>
        </w:rPr>
        <w:t xml:space="preserve">see also </w:t>
      </w:r>
      <w:proofErr w:type="spellStart"/>
      <w:r w:rsidR="00242289" w:rsidRPr="00B637DE">
        <w:rPr>
          <w:i/>
          <w:iCs/>
          <w:szCs w:val="24"/>
        </w:rPr>
        <w:t>Kyriazi</w:t>
      </w:r>
      <w:proofErr w:type="spellEnd"/>
      <w:r w:rsidR="00242289" w:rsidRPr="00B637DE">
        <w:rPr>
          <w:i/>
          <w:iCs/>
          <w:szCs w:val="24"/>
        </w:rPr>
        <w:t xml:space="preserve"> v. W. Elec. Co</w:t>
      </w:r>
      <w:r w:rsidR="00242289" w:rsidRPr="00B637DE">
        <w:rPr>
          <w:szCs w:val="24"/>
        </w:rPr>
        <w:t xml:space="preserve">., 647 F.2d 388, 393 (3d Cir. 1981) (same); </w:t>
      </w:r>
      <w:r w:rsidR="00242289" w:rsidRPr="00B637DE">
        <w:rPr>
          <w:i/>
          <w:iCs/>
          <w:szCs w:val="24"/>
        </w:rPr>
        <w:t>Mulder v. PCS Health Sys., Inc</w:t>
      </w:r>
      <w:r w:rsidR="00242289" w:rsidRPr="00B637DE">
        <w:rPr>
          <w:szCs w:val="24"/>
        </w:rPr>
        <w:t>., 216 F.R.D. 307, 318 (D.N.J. 2003) (same).</w:t>
      </w:r>
    </w:p>
    <w:p w14:paraId="383F5468" w14:textId="5E4615BA" w:rsidR="00242289" w:rsidRPr="00CB376D" w:rsidRDefault="00B1240C" w:rsidP="006C7448">
      <w:pPr>
        <w:widowControl w:val="0"/>
        <w:spacing w:line="480" w:lineRule="auto"/>
        <w:ind w:firstLine="720"/>
        <w:jc w:val="both"/>
        <w:rPr>
          <w:szCs w:val="24"/>
        </w:rPr>
      </w:pPr>
      <w:r w:rsidRPr="00CB376D">
        <w:rPr>
          <w:szCs w:val="24"/>
        </w:rPr>
        <w:t>Courts in the Third Circuit have found notice to be adequate where it is “well-calculated to reach representative class members</w:t>
      </w:r>
      <w:r w:rsidR="005D6FC3" w:rsidRPr="00CB376D">
        <w:rPr>
          <w:szCs w:val="24"/>
        </w:rPr>
        <w:t>,</w:t>
      </w:r>
      <w:r w:rsidRPr="00CB376D">
        <w:rPr>
          <w:szCs w:val="24"/>
        </w:rPr>
        <w:t xml:space="preserve">” and describes the litigation, defines the class, explains the settlement’s general terms, provides information on the fairness hearing, describes how class members can file objections, </w:t>
      </w:r>
      <w:r w:rsidR="00B0088E" w:rsidRPr="00CB376D">
        <w:rPr>
          <w:szCs w:val="24"/>
        </w:rPr>
        <w:t xml:space="preserve">states </w:t>
      </w:r>
      <w:r w:rsidRPr="00CB376D">
        <w:rPr>
          <w:szCs w:val="24"/>
        </w:rPr>
        <w:t>where complete information can be located</w:t>
      </w:r>
      <w:r w:rsidR="00211636" w:rsidRPr="00CB376D">
        <w:rPr>
          <w:szCs w:val="24"/>
        </w:rPr>
        <w:t>,</w:t>
      </w:r>
      <w:r w:rsidRPr="00CB376D">
        <w:rPr>
          <w:szCs w:val="24"/>
        </w:rPr>
        <w:t xml:space="preserve"> and provides contact information. </w:t>
      </w:r>
      <w:r w:rsidRPr="00CB376D">
        <w:rPr>
          <w:i/>
          <w:iCs/>
          <w:szCs w:val="24"/>
        </w:rPr>
        <w:t>Kaplan</w:t>
      </w:r>
      <w:r w:rsidRPr="00CB376D">
        <w:rPr>
          <w:szCs w:val="24"/>
        </w:rPr>
        <w:t xml:space="preserve">, </w:t>
      </w:r>
      <w:r w:rsidR="00211636" w:rsidRPr="00CB376D">
        <w:rPr>
          <w:szCs w:val="24"/>
        </w:rPr>
        <w:t>2008 U.S. Dist. LEXIS 5082,</w:t>
      </w:r>
      <w:r w:rsidRPr="00CB376D">
        <w:rPr>
          <w:szCs w:val="24"/>
        </w:rPr>
        <w:t xml:space="preserve"> at *</w:t>
      </w:r>
      <w:r w:rsidR="00792F66" w:rsidRPr="00CB376D">
        <w:rPr>
          <w:szCs w:val="24"/>
        </w:rPr>
        <w:t xml:space="preserve">36-37, </w:t>
      </w:r>
      <w:r w:rsidR="005D6FC3" w:rsidRPr="00CB376D">
        <w:rPr>
          <w:szCs w:val="24"/>
        </w:rPr>
        <w:t>41</w:t>
      </w:r>
      <w:r w:rsidRPr="00CB376D">
        <w:rPr>
          <w:szCs w:val="24"/>
        </w:rPr>
        <w:t xml:space="preserve"> (citing </w:t>
      </w:r>
      <w:r w:rsidRPr="00CB376D">
        <w:rPr>
          <w:i/>
          <w:iCs/>
          <w:szCs w:val="24"/>
        </w:rPr>
        <w:t>Prudential</w:t>
      </w:r>
      <w:r w:rsidRPr="00CB376D">
        <w:rPr>
          <w:szCs w:val="24"/>
        </w:rPr>
        <w:t>, 148</w:t>
      </w:r>
      <w:r w:rsidR="00A75B3E" w:rsidRPr="00CB376D">
        <w:rPr>
          <w:szCs w:val="24"/>
        </w:rPr>
        <w:t xml:space="preserve"> </w:t>
      </w:r>
      <w:r w:rsidRPr="00CB376D">
        <w:rPr>
          <w:szCs w:val="24"/>
        </w:rPr>
        <w:t>F.3d at 327</w:t>
      </w:r>
      <w:r w:rsidR="00B37F9D" w:rsidRPr="00CB376D">
        <w:rPr>
          <w:szCs w:val="24"/>
        </w:rPr>
        <w:t xml:space="preserve"> n.86</w:t>
      </w:r>
      <w:r w:rsidR="007A04A7" w:rsidRPr="00CB376D">
        <w:rPr>
          <w:szCs w:val="24"/>
        </w:rPr>
        <w:t>)</w:t>
      </w:r>
      <w:r w:rsidRPr="00CB376D">
        <w:rPr>
          <w:szCs w:val="24"/>
        </w:rPr>
        <w:t xml:space="preserve">; </w:t>
      </w:r>
      <w:r w:rsidRPr="00CB376D">
        <w:rPr>
          <w:i/>
          <w:iCs/>
          <w:szCs w:val="24"/>
        </w:rPr>
        <w:t>see also</w:t>
      </w:r>
      <w:r w:rsidR="008A5691" w:rsidRPr="00CB376D">
        <w:rPr>
          <w:i/>
          <w:iCs/>
          <w:szCs w:val="24"/>
        </w:rPr>
        <w:t xml:space="preserve"> In re Baby Prods. Antitrust Litig</w:t>
      </w:r>
      <w:r w:rsidR="008A5691" w:rsidRPr="00CB376D">
        <w:rPr>
          <w:szCs w:val="24"/>
        </w:rPr>
        <w:t xml:space="preserve">., 708 F.3d </w:t>
      </w:r>
      <w:r w:rsidRPr="00CB376D">
        <w:rPr>
          <w:szCs w:val="24"/>
        </w:rPr>
        <w:t xml:space="preserve">at 180; </w:t>
      </w:r>
      <w:bookmarkStart w:id="13" w:name="_Hlk114584704"/>
      <w:r w:rsidRPr="00CB376D">
        <w:rPr>
          <w:i/>
          <w:iCs/>
          <w:szCs w:val="24"/>
        </w:rPr>
        <w:t>In re Processed Egg Prod</w:t>
      </w:r>
      <w:r w:rsidR="0026083F" w:rsidRPr="00CB376D">
        <w:rPr>
          <w:i/>
          <w:iCs/>
          <w:szCs w:val="24"/>
        </w:rPr>
        <w:t>s</w:t>
      </w:r>
      <w:r w:rsidRPr="00CB376D">
        <w:rPr>
          <w:i/>
          <w:iCs/>
          <w:szCs w:val="24"/>
        </w:rPr>
        <w:t>. Antitrust Litig</w:t>
      </w:r>
      <w:r w:rsidRPr="00CB376D">
        <w:rPr>
          <w:szCs w:val="24"/>
        </w:rPr>
        <w:t>., 302 F.R.D. 339, 354 (E.D. Pa. 2014)</w:t>
      </w:r>
      <w:bookmarkEnd w:id="13"/>
      <w:r w:rsidRPr="00CB376D">
        <w:rPr>
          <w:szCs w:val="24"/>
        </w:rPr>
        <w:t xml:space="preserve">; </w:t>
      </w:r>
      <w:bookmarkStart w:id="14" w:name="_Hlk114585027"/>
      <w:r w:rsidRPr="00CB376D">
        <w:rPr>
          <w:i/>
          <w:iCs/>
          <w:szCs w:val="24"/>
        </w:rPr>
        <w:t>In re Diet Drugs (Phentermine, Fenfluramine, Dexfenfluramine) Prods.</w:t>
      </w:r>
      <w:r w:rsidR="00461C73" w:rsidRPr="00CB376D">
        <w:rPr>
          <w:i/>
          <w:iCs/>
          <w:szCs w:val="24"/>
        </w:rPr>
        <w:t xml:space="preserve"> </w:t>
      </w:r>
      <w:proofErr w:type="spellStart"/>
      <w:r w:rsidR="00461C73" w:rsidRPr="00CB376D">
        <w:rPr>
          <w:i/>
          <w:iCs/>
          <w:szCs w:val="24"/>
        </w:rPr>
        <w:t>Liab</w:t>
      </w:r>
      <w:proofErr w:type="spellEnd"/>
      <w:r w:rsidR="00461C73" w:rsidRPr="00CB376D">
        <w:rPr>
          <w:i/>
          <w:iCs/>
          <w:szCs w:val="24"/>
        </w:rPr>
        <w:t>. Litig.</w:t>
      </w:r>
      <w:r w:rsidRPr="00CB376D">
        <w:rPr>
          <w:szCs w:val="24"/>
        </w:rPr>
        <w:t>, 226 F.R.D. 498, 517-18 (E.D. Pa. 2005)</w:t>
      </w:r>
      <w:bookmarkEnd w:id="14"/>
      <w:r w:rsidRPr="00CB376D">
        <w:rPr>
          <w:szCs w:val="24"/>
        </w:rPr>
        <w:t>.</w:t>
      </w:r>
    </w:p>
    <w:p w14:paraId="24CD8B06" w14:textId="2930B270" w:rsidR="004864D3" w:rsidRDefault="00835677" w:rsidP="005A5C38">
      <w:pPr>
        <w:widowControl w:val="0"/>
        <w:spacing w:line="480" w:lineRule="auto"/>
        <w:ind w:firstLine="720"/>
        <w:jc w:val="both"/>
        <w:rPr>
          <w:szCs w:val="24"/>
        </w:rPr>
      </w:pPr>
      <w:r>
        <w:rPr>
          <w:szCs w:val="24"/>
        </w:rPr>
        <w:t>Here, t</w:t>
      </w:r>
      <w:r w:rsidR="00B1240C" w:rsidRPr="002210BE">
        <w:rPr>
          <w:szCs w:val="24"/>
        </w:rPr>
        <w:t xml:space="preserve">he </w:t>
      </w:r>
      <w:r w:rsidR="00904D25" w:rsidRPr="002210BE">
        <w:rPr>
          <w:szCs w:val="24"/>
        </w:rPr>
        <w:t>p</w:t>
      </w:r>
      <w:r w:rsidR="00B1240C" w:rsidRPr="002210BE">
        <w:rPr>
          <w:szCs w:val="24"/>
        </w:rPr>
        <w:t>arties</w:t>
      </w:r>
      <w:r w:rsidR="00803BC2" w:rsidRPr="002210BE">
        <w:rPr>
          <w:szCs w:val="24"/>
        </w:rPr>
        <w:t xml:space="preserve"> </w:t>
      </w:r>
      <w:r w:rsidR="005A5C38" w:rsidRPr="002210BE">
        <w:rPr>
          <w:szCs w:val="24"/>
        </w:rPr>
        <w:t>have agreed on</w:t>
      </w:r>
      <w:r w:rsidR="00B1240C" w:rsidRPr="002210BE">
        <w:rPr>
          <w:szCs w:val="24"/>
        </w:rPr>
        <w:t xml:space="preserve"> a form of notice and methods to </w:t>
      </w:r>
      <w:r w:rsidR="005A5C38" w:rsidRPr="002210BE">
        <w:rPr>
          <w:szCs w:val="24"/>
        </w:rPr>
        <w:t>disseminate</w:t>
      </w:r>
      <w:r w:rsidR="006C5AB4" w:rsidRPr="002210BE">
        <w:rPr>
          <w:szCs w:val="24"/>
        </w:rPr>
        <w:t xml:space="preserve"> </w:t>
      </w:r>
      <w:r w:rsidR="00B1240C" w:rsidRPr="002210BE">
        <w:rPr>
          <w:szCs w:val="24"/>
        </w:rPr>
        <w:t xml:space="preserve">the notice that </w:t>
      </w:r>
      <w:r w:rsidR="005A5C38" w:rsidRPr="002210BE">
        <w:rPr>
          <w:szCs w:val="24"/>
        </w:rPr>
        <w:t xml:space="preserve">are </w:t>
      </w:r>
      <w:r w:rsidR="00B1240C" w:rsidRPr="002210BE">
        <w:rPr>
          <w:szCs w:val="24"/>
        </w:rPr>
        <w:t>specifically targeted to members of the visually</w:t>
      </w:r>
      <w:r w:rsidR="003E6623" w:rsidRPr="002210BE">
        <w:rPr>
          <w:szCs w:val="24"/>
        </w:rPr>
        <w:t xml:space="preserve"> </w:t>
      </w:r>
      <w:r w:rsidR="00B1240C" w:rsidRPr="002210BE">
        <w:rPr>
          <w:szCs w:val="24"/>
        </w:rPr>
        <w:t>disabled community and</w:t>
      </w:r>
      <w:r w:rsidR="00695C3B" w:rsidRPr="002210BE">
        <w:rPr>
          <w:szCs w:val="24"/>
        </w:rPr>
        <w:t xml:space="preserve"> </w:t>
      </w:r>
      <w:r w:rsidR="00904D25" w:rsidRPr="002210BE">
        <w:rPr>
          <w:szCs w:val="24"/>
        </w:rPr>
        <w:t>satisf</w:t>
      </w:r>
      <w:r w:rsidR="005A5C38" w:rsidRPr="002210BE">
        <w:rPr>
          <w:szCs w:val="24"/>
        </w:rPr>
        <w:t>y</w:t>
      </w:r>
      <w:r w:rsidR="00904D25" w:rsidRPr="002210BE">
        <w:rPr>
          <w:szCs w:val="24"/>
        </w:rPr>
        <w:t xml:space="preserve"> </w:t>
      </w:r>
      <w:r w:rsidR="00B1240C" w:rsidRPr="002210BE">
        <w:rPr>
          <w:szCs w:val="24"/>
        </w:rPr>
        <w:t>Rule 23.</w:t>
      </w:r>
      <w:r w:rsidR="00B61C4C">
        <w:rPr>
          <w:rStyle w:val="FootnoteReference"/>
          <w:szCs w:val="24"/>
        </w:rPr>
        <w:footnoteReference w:id="6"/>
      </w:r>
    </w:p>
    <w:p w14:paraId="1783D658" w14:textId="758407C8" w:rsidR="00554FD4" w:rsidRPr="002210BE" w:rsidRDefault="005A5C38" w:rsidP="005A5C38">
      <w:pPr>
        <w:widowControl w:val="0"/>
        <w:spacing w:line="480" w:lineRule="auto"/>
        <w:ind w:firstLine="720"/>
        <w:jc w:val="both"/>
        <w:rPr>
          <w:szCs w:val="24"/>
        </w:rPr>
      </w:pPr>
      <w:r w:rsidRPr="002210BE">
        <w:rPr>
          <w:szCs w:val="24"/>
        </w:rPr>
        <w:t>The proposed Long-Form Notice</w:t>
      </w:r>
      <w:r w:rsidR="00B1240C" w:rsidRPr="002210BE">
        <w:rPr>
          <w:szCs w:val="24"/>
        </w:rPr>
        <w:t xml:space="preserve"> </w:t>
      </w:r>
      <w:r w:rsidR="00C70141" w:rsidRPr="002210BE">
        <w:rPr>
          <w:szCs w:val="24"/>
        </w:rPr>
        <w:t>describe</w:t>
      </w:r>
      <w:r w:rsidR="002210BE" w:rsidRPr="002210BE">
        <w:rPr>
          <w:szCs w:val="24"/>
        </w:rPr>
        <w:t>s</w:t>
      </w:r>
      <w:r w:rsidR="00C70141" w:rsidRPr="002210BE">
        <w:rPr>
          <w:szCs w:val="24"/>
        </w:rPr>
        <w:t xml:space="preserve"> the litigation, </w:t>
      </w:r>
      <w:r w:rsidR="00B1240C" w:rsidRPr="002210BE">
        <w:rPr>
          <w:szCs w:val="24"/>
        </w:rPr>
        <w:t>define</w:t>
      </w:r>
      <w:r w:rsidR="002210BE" w:rsidRPr="002210BE">
        <w:rPr>
          <w:szCs w:val="24"/>
        </w:rPr>
        <w:t>s</w:t>
      </w:r>
      <w:r w:rsidR="00B1240C" w:rsidRPr="002210BE">
        <w:rPr>
          <w:szCs w:val="24"/>
        </w:rPr>
        <w:t xml:space="preserve"> the Settlement Class, </w:t>
      </w:r>
      <w:r w:rsidR="00B1240C" w:rsidRPr="002210BE">
        <w:rPr>
          <w:szCs w:val="24"/>
        </w:rPr>
        <w:lastRenderedPageBreak/>
        <w:t>explain</w:t>
      </w:r>
      <w:r w:rsidR="002210BE" w:rsidRPr="002210BE">
        <w:rPr>
          <w:szCs w:val="24"/>
        </w:rPr>
        <w:t>s</w:t>
      </w:r>
      <w:r w:rsidR="00B1240C" w:rsidRPr="002210BE">
        <w:rPr>
          <w:szCs w:val="24"/>
        </w:rPr>
        <w:t xml:space="preserve"> the Agreement’s terms, provide</w:t>
      </w:r>
      <w:r w:rsidR="002210BE" w:rsidRPr="002210BE">
        <w:rPr>
          <w:szCs w:val="24"/>
        </w:rPr>
        <w:t>s</w:t>
      </w:r>
      <w:r w:rsidR="00B1240C" w:rsidRPr="002210BE">
        <w:rPr>
          <w:szCs w:val="24"/>
        </w:rPr>
        <w:t xml:space="preserve"> information on the fairness hearing, describe</w:t>
      </w:r>
      <w:r w:rsidR="002210BE" w:rsidRPr="002210BE">
        <w:rPr>
          <w:szCs w:val="24"/>
        </w:rPr>
        <w:t>s</w:t>
      </w:r>
      <w:r w:rsidR="00B1240C" w:rsidRPr="002210BE">
        <w:rPr>
          <w:szCs w:val="24"/>
        </w:rPr>
        <w:t xml:space="preserve"> the </w:t>
      </w:r>
      <w:r w:rsidR="00C70141" w:rsidRPr="002210BE">
        <w:rPr>
          <w:szCs w:val="24"/>
        </w:rPr>
        <w:t xml:space="preserve">process </w:t>
      </w:r>
      <w:r w:rsidR="00162D36" w:rsidRPr="002210BE">
        <w:rPr>
          <w:szCs w:val="24"/>
        </w:rPr>
        <w:t xml:space="preserve">and </w:t>
      </w:r>
      <w:r w:rsidR="003B0678" w:rsidRPr="002210BE">
        <w:rPr>
          <w:szCs w:val="24"/>
        </w:rPr>
        <w:t>time</w:t>
      </w:r>
      <w:r w:rsidR="00162D36" w:rsidRPr="002210BE">
        <w:rPr>
          <w:szCs w:val="24"/>
        </w:rPr>
        <w:t xml:space="preserve"> </w:t>
      </w:r>
      <w:r w:rsidR="00C70141" w:rsidRPr="002210BE">
        <w:rPr>
          <w:szCs w:val="24"/>
        </w:rPr>
        <w:t xml:space="preserve">for filing </w:t>
      </w:r>
      <w:r w:rsidR="000A024D" w:rsidRPr="002210BE">
        <w:rPr>
          <w:szCs w:val="24"/>
        </w:rPr>
        <w:t>objection</w:t>
      </w:r>
      <w:r w:rsidR="00C70141" w:rsidRPr="002210BE">
        <w:rPr>
          <w:szCs w:val="24"/>
        </w:rPr>
        <w:t>s</w:t>
      </w:r>
      <w:r w:rsidR="000A024D" w:rsidRPr="002210BE">
        <w:rPr>
          <w:szCs w:val="24"/>
        </w:rPr>
        <w:t xml:space="preserve">, </w:t>
      </w:r>
      <w:r w:rsidR="009909AC" w:rsidRPr="002210BE">
        <w:rPr>
          <w:szCs w:val="24"/>
        </w:rPr>
        <w:t>stat</w:t>
      </w:r>
      <w:r w:rsidR="000A024D" w:rsidRPr="002210BE">
        <w:rPr>
          <w:szCs w:val="24"/>
        </w:rPr>
        <w:t>e</w:t>
      </w:r>
      <w:r w:rsidR="002210BE" w:rsidRPr="002210BE">
        <w:rPr>
          <w:szCs w:val="24"/>
        </w:rPr>
        <w:t>s</w:t>
      </w:r>
      <w:r w:rsidR="000A024D" w:rsidRPr="002210BE">
        <w:rPr>
          <w:szCs w:val="24"/>
        </w:rPr>
        <w:t xml:space="preserve"> where complete information </w:t>
      </w:r>
      <w:r w:rsidR="00C70141" w:rsidRPr="002210BE">
        <w:rPr>
          <w:szCs w:val="24"/>
        </w:rPr>
        <w:t>is</w:t>
      </w:r>
      <w:r w:rsidR="000A024D" w:rsidRPr="002210BE">
        <w:rPr>
          <w:szCs w:val="24"/>
        </w:rPr>
        <w:t xml:space="preserve"> located, and provide</w:t>
      </w:r>
      <w:r w:rsidR="002210BE" w:rsidRPr="002210BE">
        <w:rPr>
          <w:szCs w:val="24"/>
        </w:rPr>
        <w:t>s</w:t>
      </w:r>
      <w:r w:rsidR="000A024D" w:rsidRPr="002210BE">
        <w:rPr>
          <w:szCs w:val="24"/>
        </w:rPr>
        <w:t xml:space="preserve"> contact information so Settlement Class Members c</w:t>
      </w:r>
      <w:r w:rsidR="00BE4FEF">
        <w:rPr>
          <w:szCs w:val="24"/>
        </w:rPr>
        <w:t>an</w:t>
      </w:r>
      <w:r w:rsidR="000A024D" w:rsidRPr="002210BE">
        <w:rPr>
          <w:szCs w:val="24"/>
        </w:rPr>
        <w:t xml:space="preserve"> contact </w:t>
      </w:r>
      <w:r w:rsidR="00A31C04" w:rsidRPr="002210BE">
        <w:rPr>
          <w:szCs w:val="24"/>
        </w:rPr>
        <w:t>c</w:t>
      </w:r>
      <w:r w:rsidR="000A024D" w:rsidRPr="002210BE">
        <w:rPr>
          <w:szCs w:val="24"/>
        </w:rPr>
        <w:t xml:space="preserve">lass </w:t>
      </w:r>
      <w:r w:rsidR="00A31C04" w:rsidRPr="002210BE">
        <w:rPr>
          <w:szCs w:val="24"/>
        </w:rPr>
        <w:t>c</w:t>
      </w:r>
      <w:r w:rsidR="000A024D" w:rsidRPr="002210BE">
        <w:rPr>
          <w:szCs w:val="24"/>
        </w:rPr>
        <w:t>ounsel with questions.</w:t>
      </w:r>
      <w:r w:rsidR="00984421" w:rsidRPr="002210BE">
        <w:rPr>
          <w:rStyle w:val="FootnoteReference"/>
          <w:szCs w:val="24"/>
        </w:rPr>
        <w:footnoteReference w:id="7"/>
      </w:r>
    </w:p>
    <w:p w14:paraId="132EAEAC" w14:textId="77777777" w:rsidR="00AE537D" w:rsidRPr="00D115D3" w:rsidRDefault="00AE537D" w:rsidP="00AE537D">
      <w:pPr>
        <w:spacing w:line="480" w:lineRule="auto"/>
        <w:ind w:firstLine="720"/>
        <w:jc w:val="both"/>
        <w:rPr>
          <w:szCs w:val="24"/>
        </w:rPr>
      </w:pPr>
      <w:r w:rsidRPr="00D115D3">
        <w:rPr>
          <w:szCs w:val="24"/>
        </w:rPr>
        <w:t xml:space="preserve">The </w:t>
      </w:r>
      <w:r>
        <w:rPr>
          <w:szCs w:val="24"/>
        </w:rPr>
        <w:t>Agreement</w:t>
      </w:r>
      <w:r w:rsidRPr="00D115D3">
        <w:rPr>
          <w:szCs w:val="24"/>
        </w:rPr>
        <w:t xml:space="preserve"> provides for notice to be distributed as follows:</w:t>
      </w:r>
    </w:p>
    <w:p w14:paraId="757005FD" w14:textId="77777777" w:rsidR="00956869" w:rsidRDefault="00956869" w:rsidP="00680969">
      <w:pPr>
        <w:pStyle w:val="ListParagraph"/>
        <w:widowControl w:val="0"/>
        <w:numPr>
          <w:ilvl w:val="1"/>
          <w:numId w:val="7"/>
        </w:numPr>
        <w:autoSpaceDE w:val="0"/>
        <w:autoSpaceDN w:val="0"/>
        <w:spacing w:after="240" w:line="276" w:lineRule="auto"/>
        <w:ind w:left="1440" w:right="720" w:hanging="702"/>
        <w:contextualSpacing w:val="0"/>
        <w:jc w:val="both"/>
      </w:pPr>
      <w:r>
        <w:t>As soon as practicable, but no later than twenty-one (21) days after the Court’s entry of a Preliminary Approval Order, Mondelēz Global LLC shall, at its expense:</w:t>
      </w:r>
    </w:p>
    <w:p w14:paraId="65A2A635" w14:textId="586F6A7E" w:rsidR="00956869" w:rsidRDefault="00956869" w:rsidP="00680969">
      <w:pPr>
        <w:pStyle w:val="ListParagraph"/>
        <w:widowControl w:val="0"/>
        <w:numPr>
          <w:ilvl w:val="2"/>
          <w:numId w:val="7"/>
        </w:numPr>
        <w:autoSpaceDE w:val="0"/>
        <w:autoSpaceDN w:val="0"/>
        <w:spacing w:after="240" w:line="276" w:lineRule="auto"/>
        <w:ind w:left="2160" w:right="720" w:hanging="720"/>
        <w:contextualSpacing w:val="0"/>
        <w:jc w:val="both"/>
      </w:pPr>
      <w:r w:rsidRPr="004472D4">
        <w:t xml:space="preserve">Cause </w:t>
      </w:r>
      <w:r>
        <w:t>the Long-Form Notice accompanying this Agreement as Exhibit B</w:t>
      </w:r>
      <w:r w:rsidRPr="004472D4">
        <w:t xml:space="preserve"> to be published on</w:t>
      </w:r>
      <w:r>
        <w:t>, and make the following documents filed in the Lawsuit available for download on,</w:t>
      </w:r>
      <w:r w:rsidRPr="004472D4">
        <w:t xml:space="preserve"> </w:t>
      </w:r>
      <w:r>
        <w:t>the</w:t>
      </w:r>
      <w:r w:rsidRPr="004472D4">
        <w:t xml:space="preserve"> </w:t>
      </w:r>
      <w:r>
        <w:t>S</w:t>
      </w:r>
      <w:r w:rsidRPr="004472D4">
        <w:t xml:space="preserve">ettlement </w:t>
      </w:r>
      <w:r>
        <w:t>W</w:t>
      </w:r>
      <w:r w:rsidRPr="004472D4">
        <w:t>ebsite</w:t>
      </w:r>
      <w:r>
        <w:t xml:space="preserve">: </w:t>
      </w:r>
      <w:r w:rsidRPr="00126FE2">
        <w:t>the</w:t>
      </w:r>
      <w:r w:rsidRPr="00B24677">
        <w:t xml:space="preserve"> class action complaint, motion for preliminary approval of class action settlement</w:t>
      </w:r>
      <w:r>
        <w:t xml:space="preserve"> </w:t>
      </w:r>
      <w:r w:rsidRPr="00B24677">
        <w:t>and supporting documents, and the Court’s order</w:t>
      </w:r>
      <w:r>
        <w:t xml:space="preserve">s concerning </w:t>
      </w:r>
      <w:r w:rsidRPr="00B24677">
        <w:t>preliminary approval</w:t>
      </w:r>
      <w:r>
        <w:t xml:space="preserve"> as well as any supporting m</w:t>
      </w:r>
      <w:r w:rsidRPr="00B24677">
        <w:t xml:space="preserve">emorandum. The Settlement Website and the documents identified in this Section shall be fully accessible by individuals who </w:t>
      </w:r>
      <w:r w:rsidR="00DB0C2E">
        <w:t xml:space="preserve">[use] </w:t>
      </w:r>
      <w:r w:rsidRPr="00B24677">
        <w:t>screen reader auxiliary aids</w:t>
      </w:r>
      <w:r>
        <w:t>.</w:t>
      </w:r>
    </w:p>
    <w:p w14:paraId="2BCF1D4A" w14:textId="77777777" w:rsidR="00956869" w:rsidRDefault="00956869" w:rsidP="00680969">
      <w:pPr>
        <w:pStyle w:val="ListParagraph"/>
        <w:widowControl w:val="0"/>
        <w:numPr>
          <w:ilvl w:val="2"/>
          <w:numId w:val="7"/>
        </w:numPr>
        <w:autoSpaceDE w:val="0"/>
        <w:autoSpaceDN w:val="0"/>
        <w:spacing w:after="240" w:line="276" w:lineRule="auto"/>
        <w:ind w:left="2160" w:right="720" w:hanging="720"/>
        <w:contextualSpacing w:val="0"/>
        <w:jc w:val="both"/>
      </w:pPr>
      <w:r>
        <w:t xml:space="preserve">Request that the following organizations publish notice in the form of Section 25.1.3 in their respective electronic newsletters so the notice is sent out within sixty (60) days of Preliminary Approval. Mondelēz Global LLC shall copy Class Counsel on each request </w:t>
      </w:r>
      <w:r>
        <w:rPr>
          <w:snapToGrid w:val="0"/>
        </w:rPr>
        <w:t>at the addresses provided in Section 38.1</w:t>
      </w:r>
      <w:r>
        <w:t>.</w:t>
      </w:r>
    </w:p>
    <w:p w14:paraId="43A37826" w14:textId="77777777" w:rsidR="00956869" w:rsidRDefault="00956869" w:rsidP="00680969">
      <w:pPr>
        <w:pStyle w:val="ListParagraph"/>
        <w:widowControl w:val="0"/>
        <w:numPr>
          <w:ilvl w:val="0"/>
          <w:numId w:val="10"/>
        </w:numPr>
        <w:autoSpaceDE w:val="0"/>
        <w:autoSpaceDN w:val="0"/>
        <w:spacing w:after="240" w:line="276" w:lineRule="auto"/>
        <w:ind w:left="2880" w:right="720" w:hanging="720"/>
        <w:jc w:val="both"/>
      </w:pPr>
      <w:r>
        <w:t>Achieva,</w:t>
      </w:r>
    </w:p>
    <w:p w14:paraId="71452298" w14:textId="77777777" w:rsidR="00956869" w:rsidRDefault="00956869" w:rsidP="00680969">
      <w:pPr>
        <w:pStyle w:val="ListParagraph"/>
        <w:widowControl w:val="0"/>
        <w:numPr>
          <w:ilvl w:val="0"/>
          <w:numId w:val="10"/>
        </w:numPr>
        <w:autoSpaceDE w:val="0"/>
        <w:autoSpaceDN w:val="0"/>
        <w:spacing w:after="240" w:line="276" w:lineRule="auto"/>
        <w:ind w:left="2880" w:right="720" w:hanging="720"/>
        <w:jc w:val="both"/>
      </w:pPr>
      <w:r>
        <w:t>American Council of the Blind,</w:t>
      </w:r>
    </w:p>
    <w:p w14:paraId="044D046E" w14:textId="77777777" w:rsidR="00956869" w:rsidRDefault="00956869" w:rsidP="00680969">
      <w:pPr>
        <w:pStyle w:val="ListParagraph"/>
        <w:widowControl w:val="0"/>
        <w:numPr>
          <w:ilvl w:val="0"/>
          <w:numId w:val="10"/>
        </w:numPr>
        <w:autoSpaceDE w:val="0"/>
        <w:autoSpaceDN w:val="0"/>
        <w:spacing w:after="240" w:line="276" w:lineRule="auto"/>
        <w:ind w:left="2880" w:right="720" w:hanging="720"/>
        <w:jc w:val="both"/>
      </w:pPr>
      <w:r>
        <w:t>American Foundation for the Blind,</w:t>
      </w:r>
    </w:p>
    <w:p w14:paraId="19AF8FF5" w14:textId="77777777" w:rsidR="00956869" w:rsidRDefault="00956869" w:rsidP="00680969">
      <w:pPr>
        <w:pStyle w:val="ListParagraph"/>
        <w:widowControl w:val="0"/>
        <w:numPr>
          <w:ilvl w:val="0"/>
          <w:numId w:val="10"/>
        </w:numPr>
        <w:autoSpaceDE w:val="0"/>
        <w:autoSpaceDN w:val="0"/>
        <w:spacing w:after="240" w:line="276" w:lineRule="auto"/>
        <w:ind w:left="2880" w:right="720" w:hanging="720"/>
        <w:jc w:val="both"/>
      </w:pPr>
      <w:r>
        <w:t>Blinded American Veterans Foundation,</w:t>
      </w:r>
    </w:p>
    <w:p w14:paraId="7F3272FB" w14:textId="77777777" w:rsidR="00956869" w:rsidRDefault="00956869" w:rsidP="00680969">
      <w:pPr>
        <w:pStyle w:val="ListParagraph"/>
        <w:widowControl w:val="0"/>
        <w:numPr>
          <w:ilvl w:val="0"/>
          <w:numId w:val="10"/>
        </w:numPr>
        <w:autoSpaceDE w:val="0"/>
        <w:autoSpaceDN w:val="0"/>
        <w:spacing w:after="240" w:line="276" w:lineRule="auto"/>
        <w:ind w:left="2880" w:right="720" w:hanging="720"/>
        <w:jc w:val="both"/>
      </w:pPr>
      <w:r>
        <w:t>Blinded Veterans Association,</w:t>
      </w:r>
    </w:p>
    <w:p w14:paraId="4D72043D" w14:textId="77777777" w:rsidR="00956869" w:rsidRDefault="00956869" w:rsidP="00680969">
      <w:pPr>
        <w:pStyle w:val="ListParagraph"/>
        <w:widowControl w:val="0"/>
        <w:numPr>
          <w:ilvl w:val="0"/>
          <w:numId w:val="10"/>
        </w:numPr>
        <w:autoSpaceDE w:val="0"/>
        <w:autoSpaceDN w:val="0"/>
        <w:spacing w:after="240" w:line="276" w:lineRule="auto"/>
        <w:ind w:left="2880" w:right="720" w:hanging="720"/>
        <w:jc w:val="both"/>
      </w:pPr>
      <w:r>
        <w:t>Foundation Fighting Blindness,</w:t>
      </w:r>
    </w:p>
    <w:p w14:paraId="2A197825" w14:textId="77777777" w:rsidR="00956869" w:rsidRDefault="00956869" w:rsidP="00680969">
      <w:pPr>
        <w:pStyle w:val="ListParagraph"/>
        <w:widowControl w:val="0"/>
        <w:numPr>
          <w:ilvl w:val="0"/>
          <w:numId w:val="10"/>
        </w:numPr>
        <w:autoSpaceDE w:val="0"/>
        <w:autoSpaceDN w:val="0"/>
        <w:spacing w:after="240" w:line="276" w:lineRule="auto"/>
        <w:ind w:left="2880" w:right="720" w:hanging="720"/>
        <w:jc w:val="both"/>
      </w:pPr>
      <w:r>
        <w:t>Guide Dogs for the Blind,</w:t>
      </w:r>
    </w:p>
    <w:p w14:paraId="2E22F112" w14:textId="77777777" w:rsidR="00956869" w:rsidRDefault="00956869" w:rsidP="00680969">
      <w:pPr>
        <w:pStyle w:val="ListParagraph"/>
        <w:widowControl w:val="0"/>
        <w:numPr>
          <w:ilvl w:val="0"/>
          <w:numId w:val="10"/>
        </w:numPr>
        <w:autoSpaceDE w:val="0"/>
        <w:autoSpaceDN w:val="0"/>
        <w:spacing w:after="240" w:line="276" w:lineRule="auto"/>
        <w:ind w:left="2880" w:right="720" w:hanging="720"/>
        <w:jc w:val="both"/>
      </w:pPr>
      <w:r>
        <w:t>National Association of Blind Merchants,</w:t>
      </w:r>
    </w:p>
    <w:p w14:paraId="0D86F9E9" w14:textId="77777777" w:rsidR="00956869" w:rsidRDefault="00956869" w:rsidP="00680969">
      <w:pPr>
        <w:pStyle w:val="ListParagraph"/>
        <w:widowControl w:val="0"/>
        <w:numPr>
          <w:ilvl w:val="0"/>
          <w:numId w:val="10"/>
        </w:numPr>
        <w:autoSpaceDE w:val="0"/>
        <w:autoSpaceDN w:val="0"/>
        <w:spacing w:after="240" w:line="276" w:lineRule="auto"/>
        <w:ind w:left="2880" w:right="720" w:hanging="720"/>
        <w:jc w:val="both"/>
      </w:pPr>
      <w:r>
        <w:t>National Council on Disability, and</w:t>
      </w:r>
    </w:p>
    <w:p w14:paraId="0E2E263B" w14:textId="77777777" w:rsidR="00956869" w:rsidRDefault="00956869" w:rsidP="00680969">
      <w:pPr>
        <w:pStyle w:val="ListParagraph"/>
        <w:widowControl w:val="0"/>
        <w:numPr>
          <w:ilvl w:val="0"/>
          <w:numId w:val="10"/>
        </w:numPr>
        <w:autoSpaceDE w:val="0"/>
        <w:autoSpaceDN w:val="0"/>
        <w:spacing w:after="240" w:line="276" w:lineRule="auto"/>
        <w:ind w:left="2880" w:right="720" w:hanging="720"/>
        <w:contextualSpacing w:val="0"/>
        <w:jc w:val="both"/>
      </w:pPr>
      <w:r>
        <w:t>National Federation of the Blind.</w:t>
      </w:r>
    </w:p>
    <w:p w14:paraId="1B7D5CF5" w14:textId="77777777" w:rsidR="00956869" w:rsidRDefault="00956869" w:rsidP="00680969">
      <w:pPr>
        <w:pStyle w:val="ListParagraph"/>
        <w:numPr>
          <w:ilvl w:val="2"/>
          <w:numId w:val="7"/>
        </w:numPr>
        <w:autoSpaceDE w:val="0"/>
        <w:autoSpaceDN w:val="0"/>
        <w:spacing w:after="240" w:line="276" w:lineRule="auto"/>
        <w:ind w:left="2160" w:right="720" w:hanging="720"/>
        <w:contextualSpacing w:val="0"/>
        <w:jc w:val="both"/>
        <w:rPr>
          <w:u w:color="0000FF"/>
        </w:rPr>
      </w:pPr>
      <w:r>
        <w:rPr>
          <w:u w:color="0000FF"/>
        </w:rPr>
        <w:lastRenderedPageBreak/>
        <w:t xml:space="preserve">“A proposed settlement has been reached that would resolve the class action lawsuit </w:t>
      </w:r>
      <w:r>
        <w:rPr>
          <w:i/>
          <w:iCs/>
          <w:u w:color="0000FF"/>
        </w:rPr>
        <w:t xml:space="preserve">Douglass v. </w:t>
      </w:r>
      <w:r>
        <w:rPr>
          <w:i/>
          <w:iCs/>
        </w:rPr>
        <w:t>Mondelēz Global LLC</w:t>
      </w:r>
      <w:r>
        <w:rPr>
          <w:u w:color="0000FF"/>
        </w:rPr>
        <w:t xml:space="preserve">, No. </w:t>
      </w:r>
      <w:r>
        <w:t>2:22-cv-00875-WSH</w:t>
      </w:r>
      <w:r>
        <w:rPr>
          <w:u w:color="0000FF"/>
        </w:rPr>
        <w:t xml:space="preserve"> (W.D. Pa.). The lawsuit alleges that </w:t>
      </w:r>
      <w:r>
        <w:t>Mondelēz Global LLC</w:t>
      </w:r>
      <w:r>
        <w:rPr>
          <w:u w:color="0000FF"/>
        </w:rPr>
        <w:t xml:space="preserve"> violated the Americans with Disabilities Act, 42 U.S.C. §§ 12101, </w:t>
      </w:r>
      <w:r w:rsidRPr="003659C5">
        <w:rPr>
          <w:i/>
          <w:iCs/>
          <w:u w:color="0000FF"/>
        </w:rPr>
        <w:t>et seq.</w:t>
      </w:r>
      <w:r>
        <w:rPr>
          <w:u w:color="0000FF"/>
        </w:rPr>
        <w:t xml:space="preserve"> by failing to take the necessary steps to ensure its websites do not discriminate against blind or visually disabled consumers who use screen reader auxiliary aids to access digital content. Mondelēz Global LLC denies the allegations in the lawsuit that it has violated the ADA and denies any allegation or implication that it discriminates against blind or visually disabled consumers or any individual or group of individuals. Under the settlement, </w:t>
      </w:r>
      <w:r>
        <w:t xml:space="preserve">Mondelēz Global LLC </w:t>
      </w:r>
      <w:r>
        <w:rPr>
          <w:u w:color="0000FF"/>
        </w:rPr>
        <w:t>agrees to take additional steps to make its websites, mobile apps, and any new website or mobile app it develops or acquires accessible to screen reader users.</w:t>
      </w:r>
    </w:p>
    <w:p w14:paraId="578A5522" w14:textId="058A4EBA" w:rsidR="001F0557" w:rsidRPr="00956869" w:rsidRDefault="00956869" w:rsidP="00680969">
      <w:pPr>
        <w:pStyle w:val="ListParagraph"/>
        <w:autoSpaceDE w:val="0"/>
        <w:autoSpaceDN w:val="0"/>
        <w:spacing w:after="240" w:line="276" w:lineRule="auto"/>
        <w:ind w:left="2174" w:right="720"/>
        <w:contextualSpacing w:val="0"/>
        <w:jc w:val="both"/>
        <w:rPr>
          <w:u w:color="0000FF"/>
        </w:rPr>
      </w:pPr>
      <w:r>
        <w:rPr>
          <w:u w:color="0000FF"/>
        </w:rPr>
        <w:t xml:space="preserve">For a more complete summary of the terms of the proposed settlement, please visit: </w:t>
      </w:r>
      <w:hyperlink r:id="rId24" w:history="1">
        <w:r w:rsidRPr="00577C11">
          <w:rPr>
            <w:rStyle w:val="Hyperlink"/>
          </w:rPr>
          <w:t>https://www.mondelezADAsettlement.com</w:t>
        </w:r>
      </w:hyperlink>
      <w:r>
        <w:rPr>
          <w:u w:color="0000FF"/>
        </w:rPr>
        <w:t>.”</w:t>
      </w:r>
    </w:p>
    <w:p w14:paraId="00991A7A" w14:textId="2A326E34" w:rsidR="00062BD0" w:rsidRPr="00562B5E" w:rsidRDefault="000A024D" w:rsidP="006C7448">
      <w:pPr>
        <w:widowControl w:val="0"/>
        <w:spacing w:line="480" w:lineRule="auto"/>
        <w:ind w:firstLine="720"/>
        <w:jc w:val="both"/>
        <w:rPr>
          <w:szCs w:val="24"/>
        </w:rPr>
      </w:pPr>
      <w:r w:rsidRPr="00562B5E">
        <w:rPr>
          <w:szCs w:val="24"/>
        </w:rPr>
        <w:t>This method for providing notice</w:t>
      </w:r>
      <w:r w:rsidR="00062BD0" w:rsidRPr="00562B5E">
        <w:rPr>
          <w:szCs w:val="24"/>
        </w:rPr>
        <w:t xml:space="preserve"> is </w:t>
      </w:r>
      <w:r w:rsidR="00803BC2" w:rsidRPr="00562B5E">
        <w:rPr>
          <w:szCs w:val="24"/>
        </w:rPr>
        <w:t>similar to</w:t>
      </w:r>
      <w:r w:rsidR="00062BD0" w:rsidRPr="00562B5E">
        <w:rPr>
          <w:szCs w:val="24"/>
        </w:rPr>
        <w:t xml:space="preserve"> that approved in </w:t>
      </w:r>
      <w:proofErr w:type="spellStart"/>
      <w:r w:rsidR="00062BD0" w:rsidRPr="00562B5E">
        <w:rPr>
          <w:i/>
          <w:iCs/>
          <w:szCs w:val="24"/>
        </w:rPr>
        <w:t>Nat</w:t>
      </w:r>
      <w:r w:rsidR="00754FDE" w:rsidRPr="00562B5E">
        <w:rPr>
          <w:i/>
          <w:iCs/>
          <w:szCs w:val="24"/>
        </w:rPr>
        <w:t>’</w:t>
      </w:r>
      <w:r w:rsidR="00062BD0" w:rsidRPr="00562B5E">
        <w:rPr>
          <w:i/>
          <w:iCs/>
          <w:szCs w:val="24"/>
        </w:rPr>
        <w:t>l</w:t>
      </w:r>
      <w:proofErr w:type="spellEnd"/>
      <w:r w:rsidR="00062BD0" w:rsidRPr="00562B5E">
        <w:rPr>
          <w:i/>
          <w:iCs/>
          <w:szCs w:val="24"/>
        </w:rPr>
        <w:t xml:space="preserve"> </w:t>
      </w:r>
      <w:proofErr w:type="spellStart"/>
      <w:r w:rsidR="00062BD0" w:rsidRPr="00562B5E">
        <w:rPr>
          <w:i/>
          <w:iCs/>
          <w:szCs w:val="24"/>
        </w:rPr>
        <w:t>Fed</w:t>
      </w:r>
      <w:r w:rsidR="00F30896" w:rsidRPr="00562B5E">
        <w:rPr>
          <w:i/>
          <w:iCs/>
          <w:szCs w:val="24"/>
        </w:rPr>
        <w:t>’n</w:t>
      </w:r>
      <w:proofErr w:type="spellEnd"/>
      <w:r w:rsidR="00062BD0" w:rsidRPr="00562B5E">
        <w:rPr>
          <w:i/>
          <w:iCs/>
          <w:szCs w:val="24"/>
        </w:rPr>
        <w:t xml:space="preserve"> </w:t>
      </w:r>
      <w:r w:rsidR="007356C3" w:rsidRPr="00562B5E">
        <w:rPr>
          <w:i/>
          <w:iCs/>
          <w:szCs w:val="24"/>
        </w:rPr>
        <w:t>O</w:t>
      </w:r>
      <w:r w:rsidR="00062BD0" w:rsidRPr="00562B5E">
        <w:rPr>
          <w:i/>
          <w:iCs/>
          <w:szCs w:val="24"/>
        </w:rPr>
        <w:t xml:space="preserve">f </w:t>
      </w:r>
      <w:r w:rsidR="007356C3" w:rsidRPr="00562B5E">
        <w:rPr>
          <w:i/>
          <w:iCs/>
          <w:szCs w:val="24"/>
        </w:rPr>
        <w:t>T</w:t>
      </w:r>
      <w:r w:rsidR="00062BD0" w:rsidRPr="00562B5E">
        <w:rPr>
          <w:i/>
          <w:iCs/>
          <w:szCs w:val="24"/>
        </w:rPr>
        <w:t>he Blind v. Uber Techs</w:t>
      </w:r>
      <w:r w:rsidR="00754FDE" w:rsidRPr="00562B5E">
        <w:rPr>
          <w:i/>
          <w:iCs/>
          <w:szCs w:val="24"/>
        </w:rPr>
        <w:t>.</w:t>
      </w:r>
      <w:r w:rsidR="00062BD0" w:rsidRPr="00562B5E">
        <w:rPr>
          <w:i/>
          <w:iCs/>
          <w:szCs w:val="24"/>
        </w:rPr>
        <w:t>, Inc.</w:t>
      </w:r>
      <w:r w:rsidR="00062BD0" w:rsidRPr="00562B5E">
        <w:rPr>
          <w:szCs w:val="24"/>
        </w:rPr>
        <w:t xml:space="preserve">, No. 14-cv-04086, </w:t>
      </w:r>
      <w:r w:rsidR="007356C3" w:rsidRPr="00562B5E">
        <w:rPr>
          <w:szCs w:val="24"/>
        </w:rPr>
        <w:t>Doc.</w:t>
      </w:r>
      <w:r w:rsidR="00062BD0" w:rsidRPr="00562B5E">
        <w:rPr>
          <w:szCs w:val="24"/>
        </w:rPr>
        <w:t xml:space="preserve"> 112 (N.D. Cal. July 13, 2016). </w:t>
      </w:r>
      <w:r w:rsidR="00231868" w:rsidRPr="00562B5E">
        <w:rPr>
          <w:szCs w:val="24"/>
        </w:rPr>
        <w:t>There</w:t>
      </w:r>
      <w:r w:rsidR="00062BD0" w:rsidRPr="00562B5E">
        <w:rPr>
          <w:szCs w:val="24"/>
        </w:rPr>
        <w:t>, the parties agreed:</w:t>
      </w:r>
    </w:p>
    <w:p w14:paraId="0C995FB7" w14:textId="0CB858C2" w:rsidR="00062BD0" w:rsidRPr="000C23B7" w:rsidRDefault="00062BD0" w:rsidP="006C7448">
      <w:pPr>
        <w:widowControl w:val="0"/>
        <w:spacing w:after="240" w:line="276" w:lineRule="auto"/>
        <w:ind w:left="720" w:right="720"/>
        <w:jc w:val="both"/>
        <w:rPr>
          <w:szCs w:val="24"/>
        </w:rPr>
      </w:pPr>
      <w:r w:rsidRPr="000C23B7">
        <w:rPr>
          <w:szCs w:val="24"/>
        </w:rPr>
        <w:t>As soon as practicable, but no later than three (3) weeks / twenty-one (21) days after the Court’s entry of a Preliminary Approval Order, Uber will pay the cost of publishing a stipulated class action settlement notice on a search-engine-optimized (“SEO”) settlement website operated by a stipulated class action settlement administrator. Uber will pay the cost of the settlement administrator. After the settlement website is posted online, Uber will post a link to the settlement notice on its news blog (newsroom.uber.com) and https://www.facebook.com/uber within 30 days of the Preliminary Approval Order. Uber will further pay the cost, if any, of ensuring the notice is published in the electronic newsletters and Braille magazines of the National Federation of the Blind and the American Council of the Blind so notice is sent out within 60 days of the Preliminary Approval Order.</w:t>
      </w:r>
    </w:p>
    <w:p w14:paraId="4E0CC5A1" w14:textId="69ECD586" w:rsidR="00803BC2" w:rsidRPr="009D34AC" w:rsidRDefault="00EF1C21" w:rsidP="00EC1826">
      <w:pPr>
        <w:widowControl w:val="0"/>
        <w:spacing w:line="480" w:lineRule="auto"/>
        <w:jc w:val="both"/>
        <w:rPr>
          <w:szCs w:val="24"/>
        </w:rPr>
      </w:pPr>
      <w:r>
        <w:rPr>
          <w:szCs w:val="24"/>
        </w:rPr>
        <w:t xml:space="preserve">Proposed </w:t>
      </w:r>
      <w:r w:rsidR="00754FDE" w:rsidRPr="009D34AC">
        <w:rPr>
          <w:szCs w:val="24"/>
        </w:rPr>
        <w:t>Agreement,</w:t>
      </w:r>
      <w:r w:rsidR="00754FDE" w:rsidRPr="009D34AC">
        <w:rPr>
          <w:i/>
          <w:iCs/>
          <w:szCs w:val="24"/>
        </w:rPr>
        <w:t xml:space="preserve"> </w:t>
      </w:r>
      <w:r w:rsidRPr="00562B5E">
        <w:rPr>
          <w:i/>
          <w:iCs/>
          <w:szCs w:val="24"/>
        </w:rPr>
        <w:t>Uber Techs., Inc.</w:t>
      </w:r>
      <w:r w:rsidR="00D93A39" w:rsidRPr="009D34AC">
        <w:rPr>
          <w:szCs w:val="24"/>
        </w:rPr>
        <w:t xml:space="preserve">, No. 14-cv-04086, </w:t>
      </w:r>
      <w:r w:rsidR="00D662A8" w:rsidRPr="009D34AC">
        <w:rPr>
          <w:szCs w:val="24"/>
        </w:rPr>
        <w:t>Doc.</w:t>
      </w:r>
      <w:r w:rsidR="00D93A39" w:rsidRPr="009D34AC">
        <w:rPr>
          <w:szCs w:val="24"/>
        </w:rPr>
        <w:t xml:space="preserve"> 85-1 (N.D. Cal. Apr. 29, 2016).</w:t>
      </w:r>
    </w:p>
    <w:p w14:paraId="3D557281" w14:textId="1483A08A" w:rsidR="00C92B3A" w:rsidRPr="00DE64CF" w:rsidRDefault="00D93A39" w:rsidP="00754FDE">
      <w:pPr>
        <w:widowControl w:val="0"/>
        <w:spacing w:line="480" w:lineRule="auto"/>
        <w:jc w:val="both"/>
        <w:rPr>
          <w:szCs w:val="24"/>
        </w:rPr>
      </w:pPr>
      <w:r w:rsidRPr="00754FDE">
        <w:rPr>
          <w:szCs w:val="24"/>
        </w:rPr>
        <w:tab/>
      </w:r>
      <w:r w:rsidR="000370FB" w:rsidRPr="00DE64CF">
        <w:rPr>
          <w:szCs w:val="24"/>
        </w:rPr>
        <w:t xml:space="preserve">Here, in addition to those channels the court approved in </w:t>
      </w:r>
      <w:r w:rsidR="000370FB" w:rsidRPr="00DE64CF">
        <w:rPr>
          <w:i/>
          <w:iCs/>
          <w:szCs w:val="24"/>
        </w:rPr>
        <w:t>Uber</w:t>
      </w:r>
      <w:r w:rsidR="000370FB" w:rsidRPr="00DE64CF">
        <w:rPr>
          <w:szCs w:val="24"/>
        </w:rPr>
        <w:t xml:space="preserve">, </w:t>
      </w:r>
      <w:r w:rsidR="00025BF5" w:rsidRPr="00DE64CF">
        <w:rPr>
          <w:szCs w:val="24"/>
        </w:rPr>
        <w:t>Defendant has agreed to contact eight additional organizations</w:t>
      </w:r>
      <w:r w:rsidR="00844237">
        <w:rPr>
          <w:szCs w:val="24"/>
        </w:rPr>
        <w:t xml:space="preserve"> to request that</w:t>
      </w:r>
      <w:r w:rsidR="00025BF5" w:rsidRPr="00DE64CF">
        <w:rPr>
          <w:szCs w:val="24"/>
        </w:rPr>
        <w:t xml:space="preserve"> the organizations notify their members</w:t>
      </w:r>
      <w:r w:rsidR="00DE64CF" w:rsidRPr="00DE64CF">
        <w:rPr>
          <w:szCs w:val="24"/>
        </w:rPr>
        <w:t>,</w:t>
      </w:r>
      <w:r w:rsidR="00025BF5" w:rsidRPr="00DE64CF">
        <w:rPr>
          <w:szCs w:val="24"/>
        </w:rPr>
        <w:t xml:space="preserve"> </w:t>
      </w:r>
      <w:r w:rsidR="00844237">
        <w:rPr>
          <w:szCs w:val="24"/>
        </w:rPr>
        <w:t xml:space="preserve">which </w:t>
      </w:r>
      <w:r w:rsidR="002C310A">
        <w:rPr>
          <w:szCs w:val="24"/>
        </w:rPr>
        <w:t xml:space="preserve">also </w:t>
      </w:r>
      <w:r w:rsidR="00844237">
        <w:rPr>
          <w:szCs w:val="24"/>
        </w:rPr>
        <w:t>ensures</w:t>
      </w:r>
      <w:r w:rsidR="00025BF5" w:rsidRPr="00DE64CF">
        <w:rPr>
          <w:szCs w:val="24"/>
        </w:rPr>
        <w:t xml:space="preserve"> the organizations have an opportunity to object to the Agreement on</w:t>
      </w:r>
      <w:r w:rsidR="00DD7421">
        <w:rPr>
          <w:szCs w:val="24"/>
        </w:rPr>
        <w:t xml:space="preserve"> their members’ </w:t>
      </w:r>
      <w:r w:rsidR="00DD7421">
        <w:rPr>
          <w:szCs w:val="24"/>
        </w:rPr>
        <w:lastRenderedPageBreak/>
        <w:t>behalf</w:t>
      </w:r>
      <w:r w:rsidR="00025BF5" w:rsidRPr="00DE64CF">
        <w:rPr>
          <w:szCs w:val="24"/>
        </w:rPr>
        <w:t>. The Court should approve the notice and notice plan</w:t>
      </w:r>
      <w:r w:rsidR="000370FB" w:rsidRPr="00DE64CF">
        <w:rPr>
          <w:szCs w:val="24"/>
        </w:rPr>
        <w:t>.</w:t>
      </w:r>
    </w:p>
    <w:p w14:paraId="35C86FE3" w14:textId="3C7A9894" w:rsidR="00E01193" w:rsidRPr="00C0192B" w:rsidRDefault="00762262" w:rsidP="006C7448">
      <w:pPr>
        <w:pStyle w:val="ListParagraph"/>
        <w:keepNext/>
        <w:widowControl w:val="0"/>
        <w:numPr>
          <w:ilvl w:val="0"/>
          <w:numId w:val="2"/>
        </w:numPr>
        <w:spacing w:after="240"/>
        <w:ind w:left="0" w:right="720" w:firstLine="0"/>
        <w:contextualSpacing w:val="0"/>
        <w:rPr>
          <w:b/>
          <w:bCs/>
          <w:iCs/>
          <w:szCs w:val="24"/>
        </w:rPr>
      </w:pPr>
      <w:r w:rsidRPr="00C0192B">
        <w:rPr>
          <w:b/>
          <w:bCs/>
          <w:iCs/>
          <w:szCs w:val="24"/>
        </w:rPr>
        <w:t>CONCLUSION</w:t>
      </w:r>
    </w:p>
    <w:p w14:paraId="058B9E7C" w14:textId="6C757F8F" w:rsidR="00C92B3A" w:rsidRPr="000200F7" w:rsidRDefault="00803BC2" w:rsidP="006C7448">
      <w:pPr>
        <w:pStyle w:val="ListParagraph"/>
        <w:widowControl w:val="0"/>
        <w:spacing w:line="480" w:lineRule="auto"/>
        <w:ind w:left="0" w:firstLine="720"/>
        <w:contextualSpacing w:val="0"/>
        <w:jc w:val="both"/>
        <w:rPr>
          <w:szCs w:val="24"/>
        </w:rPr>
      </w:pPr>
      <w:r w:rsidRPr="000200F7">
        <w:rPr>
          <w:szCs w:val="24"/>
        </w:rPr>
        <w:t xml:space="preserve">For the </w:t>
      </w:r>
      <w:r w:rsidR="00C0192B" w:rsidRPr="000200F7">
        <w:rPr>
          <w:szCs w:val="24"/>
        </w:rPr>
        <w:t>foregoing</w:t>
      </w:r>
      <w:r w:rsidR="00DC5CEE" w:rsidRPr="000200F7">
        <w:rPr>
          <w:szCs w:val="24"/>
        </w:rPr>
        <w:t xml:space="preserve"> </w:t>
      </w:r>
      <w:r w:rsidRPr="000200F7">
        <w:rPr>
          <w:szCs w:val="24"/>
        </w:rPr>
        <w:t xml:space="preserve">reasons, </w:t>
      </w:r>
      <w:r w:rsidR="000200F7" w:rsidRPr="000200F7">
        <w:rPr>
          <w:szCs w:val="24"/>
        </w:rPr>
        <w:t>Plaintiff respectfully requests that the Court certify the class for settlement purposes and preliminarily approve the proposed settlement. Plaintiff also requests that the Court schedule a fairness hearing on final settlement approval as the Court’s calendar permits</w:t>
      </w:r>
      <w:r w:rsidR="00B131ED" w:rsidRPr="000200F7">
        <w:rPr>
          <w:szCs w:val="24"/>
        </w:rPr>
        <w:t>.</w:t>
      </w:r>
    </w:p>
    <w:p w14:paraId="2BAAF503" w14:textId="45BA62B6" w:rsidR="00051FA9" w:rsidRPr="0045244E" w:rsidRDefault="00051FA9" w:rsidP="0085551D">
      <w:pPr>
        <w:spacing w:after="160" w:line="259"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904E3" w:rsidRPr="0045244E" w14:paraId="566526B5" w14:textId="77777777" w:rsidTr="009904E3">
        <w:tc>
          <w:tcPr>
            <w:tcW w:w="4675" w:type="dxa"/>
            <w:vAlign w:val="bottom"/>
            <w:hideMark/>
          </w:tcPr>
          <w:p w14:paraId="78BCE832" w14:textId="7024B799" w:rsidR="009904E3" w:rsidRPr="0045244E" w:rsidRDefault="009904E3" w:rsidP="00A40C0F">
            <w:pPr>
              <w:spacing w:line="276" w:lineRule="auto"/>
              <w:rPr>
                <w:bCs/>
                <w:szCs w:val="24"/>
              </w:rPr>
            </w:pPr>
            <w:bookmarkStart w:id="15" w:name="_Hlk36454850"/>
            <w:r w:rsidRPr="0045244E">
              <w:rPr>
                <w:bCs/>
                <w:szCs w:val="24"/>
              </w:rPr>
              <w:t xml:space="preserve">Dated: </w:t>
            </w:r>
            <w:r w:rsidR="00B61C4C">
              <w:rPr>
                <w:bCs/>
                <w:szCs w:val="24"/>
              </w:rPr>
              <w:t>November 18, 2022</w:t>
            </w:r>
          </w:p>
        </w:tc>
        <w:tc>
          <w:tcPr>
            <w:tcW w:w="4675" w:type="dxa"/>
            <w:tcBorders>
              <w:top w:val="nil"/>
              <w:left w:val="nil"/>
              <w:bottom w:val="single" w:sz="8" w:space="0" w:color="auto"/>
              <w:right w:val="nil"/>
            </w:tcBorders>
            <w:vAlign w:val="bottom"/>
            <w:hideMark/>
          </w:tcPr>
          <w:p w14:paraId="0224BCA1" w14:textId="1A12CE9A" w:rsidR="009904E3" w:rsidRPr="0045244E" w:rsidRDefault="009904E3" w:rsidP="00A40C0F">
            <w:pPr>
              <w:spacing w:line="276" w:lineRule="auto"/>
              <w:rPr>
                <w:bCs/>
                <w:i/>
                <w:iCs/>
                <w:szCs w:val="24"/>
              </w:rPr>
            </w:pPr>
            <w:r w:rsidRPr="0045244E">
              <w:rPr>
                <w:bCs/>
                <w:i/>
                <w:iCs/>
                <w:szCs w:val="24"/>
              </w:rPr>
              <w:t xml:space="preserve">/s/ Kevin </w:t>
            </w:r>
            <w:r w:rsidR="00065CAD" w:rsidRPr="0045244E">
              <w:rPr>
                <w:bCs/>
                <w:i/>
                <w:iCs/>
                <w:szCs w:val="24"/>
              </w:rPr>
              <w:t xml:space="preserve">W. </w:t>
            </w:r>
            <w:r w:rsidRPr="0045244E">
              <w:rPr>
                <w:bCs/>
                <w:i/>
                <w:iCs/>
                <w:szCs w:val="24"/>
              </w:rPr>
              <w:t>Tucker</w:t>
            </w:r>
          </w:p>
        </w:tc>
      </w:tr>
      <w:tr w:rsidR="00F16243" w:rsidRPr="0045244E" w14:paraId="43205C9C" w14:textId="77777777" w:rsidTr="00F16243">
        <w:tc>
          <w:tcPr>
            <w:tcW w:w="4675" w:type="dxa"/>
            <w:vAlign w:val="bottom"/>
          </w:tcPr>
          <w:p w14:paraId="55B593F0" w14:textId="77777777" w:rsidR="00F16243" w:rsidRPr="0045244E" w:rsidRDefault="00F16243" w:rsidP="00A40C0F">
            <w:pPr>
              <w:spacing w:line="276" w:lineRule="auto"/>
              <w:rPr>
                <w:bCs/>
                <w:sz w:val="4"/>
                <w:szCs w:val="4"/>
              </w:rPr>
            </w:pPr>
          </w:p>
        </w:tc>
        <w:tc>
          <w:tcPr>
            <w:tcW w:w="4675" w:type="dxa"/>
            <w:tcBorders>
              <w:top w:val="nil"/>
              <w:left w:val="nil"/>
              <w:right w:val="nil"/>
            </w:tcBorders>
            <w:vAlign w:val="bottom"/>
          </w:tcPr>
          <w:p w14:paraId="31F946DD" w14:textId="77777777" w:rsidR="00F16243" w:rsidRPr="0045244E" w:rsidRDefault="00F16243" w:rsidP="00A40C0F">
            <w:pPr>
              <w:spacing w:line="276" w:lineRule="auto"/>
              <w:rPr>
                <w:bCs/>
                <w:i/>
                <w:iCs/>
                <w:sz w:val="4"/>
                <w:szCs w:val="4"/>
              </w:rPr>
            </w:pPr>
          </w:p>
        </w:tc>
      </w:tr>
      <w:tr w:rsidR="009904E3" w:rsidRPr="0045244E" w14:paraId="1FFB7DF9" w14:textId="77777777" w:rsidTr="00F16243">
        <w:tc>
          <w:tcPr>
            <w:tcW w:w="4675" w:type="dxa"/>
            <w:vAlign w:val="bottom"/>
          </w:tcPr>
          <w:p w14:paraId="018ACCC5" w14:textId="77777777" w:rsidR="009904E3" w:rsidRPr="0045244E" w:rsidRDefault="009904E3" w:rsidP="00A40C0F">
            <w:pPr>
              <w:spacing w:line="276" w:lineRule="auto"/>
              <w:rPr>
                <w:bCs/>
                <w:szCs w:val="24"/>
              </w:rPr>
            </w:pPr>
          </w:p>
        </w:tc>
        <w:tc>
          <w:tcPr>
            <w:tcW w:w="4675" w:type="dxa"/>
            <w:tcBorders>
              <w:left w:val="nil"/>
              <w:bottom w:val="nil"/>
              <w:right w:val="nil"/>
            </w:tcBorders>
            <w:vAlign w:val="bottom"/>
            <w:hideMark/>
          </w:tcPr>
          <w:p w14:paraId="44DE51F8" w14:textId="2DA0B3B6" w:rsidR="009904E3" w:rsidRPr="0045244E" w:rsidRDefault="009904E3" w:rsidP="00A40C0F">
            <w:pPr>
              <w:rPr>
                <w:bCs/>
                <w:szCs w:val="24"/>
              </w:rPr>
            </w:pPr>
            <w:r w:rsidRPr="0045244E">
              <w:rPr>
                <w:bCs/>
                <w:szCs w:val="24"/>
              </w:rPr>
              <w:t>Kevin</w:t>
            </w:r>
            <w:r w:rsidR="00051FA9" w:rsidRPr="0045244E">
              <w:rPr>
                <w:bCs/>
                <w:szCs w:val="24"/>
              </w:rPr>
              <w:t xml:space="preserve"> W.</w:t>
            </w:r>
            <w:r w:rsidRPr="0045244E">
              <w:rPr>
                <w:bCs/>
                <w:szCs w:val="24"/>
              </w:rPr>
              <w:t xml:space="preserve"> Tucker (He/Him</w:t>
            </w:r>
            <w:r w:rsidR="007B692F" w:rsidRPr="0045244E">
              <w:rPr>
                <w:bCs/>
                <w:szCs w:val="24"/>
              </w:rPr>
              <w:t>) (PA 312144)</w:t>
            </w:r>
          </w:p>
        </w:tc>
      </w:tr>
      <w:tr w:rsidR="009904E3" w:rsidRPr="0045244E" w14:paraId="3D2A1751" w14:textId="77777777" w:rsidTr="009904E3">
        <w:tc>
          <w:tcPr>
            <w:tcW w:w="4675" w:type="dxa"/>
            <w:vAlign w:val="bottom"/>
          </w:tcPr>
          <w:p w14:paraId="0E1C8776" w14:textId="77777777" w:rsidR="009904E3" w:rsidRPr="0045244E" w:rsidRDefault="009904E3" w:rsidP="00A40C0F">
            <w:pPr>
              <w:spacing w:line="276" w:lineRule="auto"/>
              <w:rPr>
                <w:bCs/>
                <w:szCs w:val="24"/>
              </w:rPr>
            </w:pPr>
          </w:p>
        </w:tc>
        <w:tc>
          <w:tcPr>
            <w:tcW w:w="4675" w:type="dxa"/>
            <w:vAlign w:val="bottom"/>
            <w:hideMark/>
          </w:tcPr>
          <w:p w14:paraId="6286299E" w14:textId="7CD0172A" w:rsidR="009904E3" w:rsidRPr="0045244E" w:rsidRDefault="009904E3" w:rsidP="00A40C0F">
            <w:pPr>
              <w:rPr>
                <w:bCs/>
                <w:szCs w:val="24"/>
              </w:rPr>
            </w:pPr>
            <w:r w:rsidRPr="0045244E">
              <w:rPr>
                <w:bCs/>
                <w:szCs w:val="24"/>
              </w:rPr>
              <w:t>Kevin J. Abramowic</w:t>
            </w:r>
            <w:r w:rsidR="007B692F" w:rsidRPr="0045244E">
              <w:rPr>
                <w:bCs/>
                <w:szCs w:val="24"/>
              </w:rPr>
              <w:t xml:space="preserve">z </w:t>
            </w:r>
            <w:r w:rsidR="00051FA9" w:rsidRPr="0045244E">
              <w:rPr>
                <w:bCs/>
                <w:szCs w:val="24"/>
              </w:rPr>
              <w:t xml:space="preserve">(He/Him) </w:t>
            </w:r>
            <w:r w:rsidR="007B692F" w:rsidRPr="0045244E">
              <w:rPr>
                <w:bCs/>
                <w:szCs w:val="24"/>
              </w:rPr>
              <w:t xml:space="preserve">(PA </w:t>
            </w:r>
            <w:r w:rsidRPr="0045244E">
              <w:rPr>
                <w:bCs/>
                <w:szCs w:val="24"/>
              </w:rPr>
              <w:t>320659</w:t>
            </w:r>
            <w:r w:rsidR="007B692F" w:rsidRPr="0045244E">
              <w:rPr>
                <w:bCs/>
                <w:szCs w:val="24"/>
              </w:rPr>
              <w:t>)</w:t>
            </w:r>
          </w:p>
          <w:p w14:paraId="497776E5" w14:textId="280F0220" w:rsidR="007B692F" w:rsidRPr="0045244E" w:rsidRDefault="007B692F" w:rsidP="00A40C0F">
            <w:pPr>
              <w:spacing w:line="276" w:lineRule="auto"/>
              <w:rPr>
                <w:bCs/>
                <w:lang w:val="es-ES"/>
              </w:rPr>
            </w:pPr>
            <w:r w:rsidRPr="0045244E">
              <w:rPr>
                <w:bCs/>
                <w:lang w:val="es-ES"/>
              </w:rPr>
              <w:t>Chandler Steiger (</w:t>
            </w:r>
            <w:proofErr w:type="spellStart"/>
            <w:r w:rsidRPr="0045244E">
              <w:rPr>
                <w:bCs/>
                <w:lang w:val="es-ES"/>
              </w:rPr>
              <w:t>She</w:t>
            </w:r>
            <w:proofErr w:type="spellEnd"/>
            <w:r w:rsidRPr="0045244E">
              <w:rPr>
                <w:bCs/>
                <w:lang w:val="es-ES"/>
              </w:rPr>
              <w:t>/</w:t>
            </w:r>
            <w:proofErr w:type="spellStart"/>
            <w:r w:rsidRPr="0045244E">
              <w:rPr>
                <w:bCs/>
                <w:lang w:val="es-ES"/>
              </w:rPr>
              <w:t>Her</w:t>
            </w:r>
            <w:proofErr w:type="spellEnd"/>
            <w:r w:rsidRPr="0045244E">
              <w:rPr>
                <w:bCs/>
                <w:lang w:val="es-ES"/>
              </w:rPr>
              <w:t>) (PA</w:t>
            </w:r>
            <w:r w:rsidR="008C6472" w:rsidRPr="0045244E">
              <w:rPr>
                <w:bCs/>
                <w:lang w:val="es-ES"/>
              </w:rPr>
              <w:t xml:space="preserve"> </w:t>
            </w:r>
            <w:r w:rsidRPr="0045244E">
              <w:rPr>
                <w:bCs/>
                <w:lang w:val="es-ES"/>
              </w:rPr>
              <w:t>328891)</w:t>
            </w:r>
          </w:p>
          <w:p w14:paraId="5E59FC1F" w14:textId="07190B6F" w:rsidR="007B692F" w:rsidRPr="0045244E" w:rsidRDefault="007B692F" w:rsidP="00A40C0F">
            <w:pPr>
              <w:rPr>
                <w:bCs/>
                <w:szCs w:val="24"/>
              </w:rPr>
            </w:pPr>
            <w:r w:rsidRPr="0045244E">
              <w:rPr>
                <w:bCs/>
                <w:lang w:val="es-ES"/>
              </w:rPr>
              <w:t>Stephanie Moore (</w:t>
            </w:r>
            <w:proofErr w:type="spellStart"/>
            <w:r w:rsidRPr="0045244E">
              <w:rPr>
                <w:bCs/>
                <w:lang w:val="es-ES"/>
              </w:rPr>
              <w:t>She</w:t>
            </w:r>
            <w:proofErr w:type="spellEnd"/>
            <w:r w:rsidRPr="0045244E">
              <w:rPr>
                <w:bCs/>
                <w:lang w:val="es-ES"/>
              </w:rPr>
              <w:t>/</w:t>
            </w:r>
            <w:proofErr w:type="spellStart"/>
            <w:r w:rsidRPr="0045244E">
              <w:rPr>
                <w:bCs/>
                <w:lang w:val="es-ES"/>
              </w:rPr>
              <w:t>Her</w:t>
            </w:r>
            <w:proofErr w:type="spellEnd"/>
            <w:r w:rsidRPr="0045244E">
              <w:rPr>
                <w:bCs/>
                <w:lang w:val="es-ES"/>
              </w:rPr>
              <w:t>) (PA 329447)</w:t>
            </w:r>
          </w:p>
        </w:tc>
      </w:tr>
      <w:tr w:rsidR="009904E3" w:rsidRPr="0045244E" w14:paraId="58B0D428" w14:textId="77777777" w:rsidTr="009904E3">
        <w:tc>
          <w:tcPr>
            <w:tcW w:w="4675" w:type="dxa"/>
            <w:vAlign w:val="bottom"/>
          </w:tcPr>
          <w:p w14:paraId="12CD410A" w14:textId="77777777" w:rsidR="009904E3" w:rsidRPr="0045244E" w:rsidRDefault="009904E3" w:rsidP="00A40C0F">
            <w:pPr>
              <w:spacing w:line="276" w:lineRule="auto"/>
              <w:rPr>
                <w:bCs/>
                <w:szCs w:val="24"/>
              </w:rPr>
            </w:pPr>
          </w:p>
        </w:tc>
        <w:tc>
          <w:tcPr>
            <w:tcW w:w="4675" w:type="dxa"/>
            <w:vAlign w:val="bottom"/>
            <w:hideMark/>
          </w:tcPr>
          <w:p w14:paraId="6744E277" w14:textId="77777777" w:rsidR="009904E3" w:rsidRPr="0045244E" w:rsidRDefault="009904E3" w:rsidP="00A40C0F">
            <w:pPr>
              <w:rPr>
                <w:b/>
                <w:szCs w:val="24"/>
              </w:rPr>
            </w:pPr>
            <w:r w:rsidRPr="0045244E">
              <w:rPr>
                <w:b/>
                <w:szCs w:val="24"/>
              </w:rPr>
              <w:t>EAST END TRIAL GROUP LLC</w:t>
            </w:r>
          </w:p>
        </w:tc>
      </w:tr>
      <w:tr w:rsidR="009904E3" w:rsidRPr="0045244E" w14:paraId="28AB96F6" w14:textId="77777777" w:rsidTr="009904E3">
        <w:tc>
          <w:tcPr>
            <w:tcW w:w="4675" w:type="dxa"/>
            <w:vAlign w:val="bottom"/>
          </w:tcPr>
          <w:p w14:paraId="12C7F613" w14:textId="77777777" w:rsidR="009904E3" w:rsidRPr="0045244E" w:rsidRDefault="009904E3" w:rsidP="00A40C0F">
            <w:pPr>
              <w:spacing w:line="276" w:lineRule="auto"/>
              <w:rPr>
                <w:bCs/>
                <w:szCs w:val="24"/>
              </w:rPr>
            </w:pPr>
          </w:p>
        </w:tc>
        <w:tc>
          <w:tcPr>
            <w:tcW w:w="4675" w:type="dxa"/>
            <w:vAlign w:val="bottom"/>
            <w:hideMark/>
          </w:tcPr>
          <w:p w14:paraId="1C37EDD4" w14:textId="5A01A2D1" w:rsidR="009904E3" w:rsidRPr="0045244E" w:rsidRDefault="007B692F" w:rsidP="00A40C0F">
            <w:pPr>
              <w:rPr>
                <w:bCs/>
                <w:szCs w:val="24"/>
              </w:rPr>
            </w:pPr>
            <w:r w:rsidRPr="0045244E">
              <w:rPr>
                <w:bCs/>
                <w:szCs w:val="24"/>
              </w:rPr>
              <w:t>6901 Lynn Way, Suite 215</w:t>
            </w:r>
          </w:p>
        </w:tc>
      </w:tr>
      <w:tr w:rsidR="009904E3" w:rsidRPr="0045244E" w14:paraId="6ECE61DC" w14:textId="77777777" w:rsidTr="009904E3">
        <w:tc>
          <w:tcPr>
            <w:tcW w:w="4675" w:type="dxa"/>
            <w:vAlign w:val="bottom"/>
          </w:tcPr>
          <w:p w14:paraId="59CB3701" w14:textId="77777777" w:rsidR="009904E3" w:rsidRPr="0045244E" w:rsidRDefault="009904E3" w:rsidP="00A40C0F">
            <w:pPr>
              <w:spacing w:line="276" w:lineRule="auto"/>
              <w:rPr>
                <w:bCs/>
                <w:szCs w:val="24"/>
              </w:rPr>
            </w:pPr>
          </w:p>
        </w:tc>
        <w:tc>
          <w:tcPr>
            <w:tcW w:w="4675" w:type="dxa"/>
            <w:vAlign w:val="bottom"/>
            <w:hideMark/>
          </w:tcPr>
          <w:p w14:paraId="640A00D2" w14:textId="48EF858D" w:rsidR="009904E3" w:rsidRPr="0045244E" w:rsidRDefault="009904E3" w:rsidP="00A40C0F">
            <w:pPr>
              <w:rPr>
                <w:bCs/>
                <w:szCs w:val="24"/>
              </w:rPr>
            </w:pPr>
            <w:r w:rsidRPr="0045244E">
              <w:rPr>
                <w:bCs/>
                <w:szCs w:val="24"/>
              </w:rPr>
              <w:t>Pittsburgh, PA 1520</w:t>
            </w:r>
            <w:r w:rsidR="007B692F" w:rsidRPr="0045244E">
              <w:rPr>
                <w:bCs/>
                <w:szCs w:val="24"/>
              </w:rPr>
              <w:t>8</w:t>
            </w:r>
          </w:p>
        </w:tc>
      </w:tr>
      <w:tr w:rsidR="009904E3" w:rsidRPr="0045244E" w14:paraId="222B68E7" w14:textId="77777777" w:rsidTr="009904E3">
        <w:tc>
          <w:tcPr>
            <w:tcW w:w="4675" w:type="dxa"/>
            <w:vAlign w:val="bottom"/>
          </w:tcPr>
          <w:p w14:paraId="7E8D3280" w14:textId="77777777" w:rsidR="009904E3" w:rsidRPr="0045244E" w:rsidRDefault="009904E3" w:rsidP="00A40C0F">
            <w:pPr>
              <w:spacing w:line="276" w:lineRule="auto"/>
              <w:rPr>
                <w:bCs/>
                <w:szCs w:val="24"/>
              </w:rPr>
            </w:pPr>
          </w:p>
        </w:tc>
        <w:tc>
          <w:tcPr>
            <w:tcW w:w="4675" w:type="dxa"/>
            <w:vAlign w:val="bottom"/>
            <w:hideMark/>
          </w:tcPr>
          <w:p w14:paraId="4F324A7E" w14:textId="77777777" w:rsidR="009904E3" w:rsidRDefault="009904E3" w:rsidP="00A40C0F">
            <w:pPr>
              <w:rPr>
                <w:bCs/>
                <w:szCs w:val="24"/>
              </w:rPr>
            </w:pPr>
            <w:r w:rsidRPr="0045244E">
              <w:rPr>
                <w:bCs/>
                <w:szCs w:val="24"/>
              </w:rPr>
              <w:t>Tel. (412) 877-5220</w:t>
            </w:r>
          </w:p>
          <w:p w14:paraId="09D742D4" w14:textId="5042FD69" w:rsidR="006635AB" w:rsidRPr="0045244E" w:rsidRDefault="00B05165" w:rsidP="00A40C0F">
            <w:pPr>
              <w:rPr>
                <w:bCs/>
                <w:szCs w:val="24"/>
              </w:rPr>
            </w:pPr>
            <w:hyperlink r:id="rId25" w:history="1">
              <w:r w:rsidR="006635AB" w:rsidRPr="001D0427">
                <w:rPr>
                  <w:rStyle w:val="Hyperlink"/>
                  <w:bCs/>
                  <w:szCs w:val="24"/>
                </w:rPr>
                <w:t>https://www.eastendtrialgroup.com/</w:t>
              </w:r>
            </w:hyperlink>
          </w:p>
        </w:tc>
      </w:tr>
      <w:tr w:rsidR="009904E3" w:rsidRPr="0045244E" w14:paraId="0F34AA48" w14:textId="77777777" w:rsidTr="009904E3">
        <w:tc>
          <w:tcPr>
            <w:tcW w:w="4675" w:type="dxa"/>
            <w:vAlign w:val="bottom"/>
          </w:tcPr>
          <w:p w14:paraId="76642DFF" w14:textId="77777777" w:rsidR="009904E3" w:rsidRPr="0045244E" w:rsidRDefault="009904E3" w:rsidP="00A40C0F">
            <w:pPr>
              <w:spacing w:line="276" w:lineRule="auto"/>
              <w:rPr>
                <w:bCs/>
                <w:szCs w:val="24"/>
              </w:rPr>
            </w:pPr>
          </w:p>
        </w:tc>
        <w:tc>
          <w:tcPr>
            <w:tcW w:w="4675" w:type="dxa"/>
            <w:vAlign w:val="bottom"/>
            <w:hideMark/>
          </w:tcPr>
          <w:p w14:paraId="7C4585CC" w14:textId="77777777" w:rsidR="009904E3" w:rsidRPr="0045244E" w:rsidRDefault="009904E3" w:rsidP="00A40C0F">
            <w:pPr>
              <w:rPr>
                <w:bCs/>
                <w:szCs w:val="24"/>
              </w:rPr>
            </w:pPr>
            <w:r w:rsidRPr="0045244E">
              <w:rPr>
                <w:bCs/>
                <w:szCs w:val="24"/>
              </w:rPr>
              <w:t>ktucker@eastendtrialgroup.com</w:t>
            </w:r>
          </w:p>
          <w:p w14:paraId="589314D5" w14:textId="373740ED" w:rsidR="009904E3" w:rsidRPr="0045244E" w:rsidRDefault="007B692F" w:rsidP="00A40C0F">
            <w:pPr>
              <w:rPr>
                <w:bCs/>
                <w:szCs w:val="24"/>
              </w:rPr>
            </w:pPr>
            <w:r w:rsidRPr="0045244E">
              <w:rPr>
                <w:bCs/>
                <w:szCs w:val="24"/>
              </w:rPr>
              <w:t>kabramowicz@eastendtrialgroup.com</w:t>
            </w:r>
          </w:p>
          <w:p w14:paraId="040BC5E5" w14:textId="0AAB3A79" w:rsidR="007B692F" w:rsidRPr="0045244E" w:rsidRDefault="007B692F" w:rsidP="00A40C0F">
            <w:pPr>
              <w:rPr>
                <w:bCs/>
                <w:szCs w:val="24"/>
              </w:rPr>
            </w:pPr>
            <w:r w:rsidRPr="0045244E">
              <w:rPr>
                <w:bCs/>
                <w:szCs w:val="24"/>
              </w:rPr>
              <w:t>csteiger@eastendtrialgroup.com</w:t>
            </w:r>
          </w:p>
          <w:p w14:paraId="122ACE2F" w14:textId="442039B5" w:rsidR="007B692F" w:rsidRPr="0045244E" w:rsidRDefault="007B692F" w:rsidP="00A40C0F">
            <w:pPr>
              <w:rPr>
                <w:bCs/>
                <w:szCs w:val="24"/>
              </w:rPr>
            </w:pPr>
            <w:r w:rsidRPr="0045244E">
              <w:rPr>
                <w:bCs/>
                <w:szCs w:val="24"/>
              </w:rPr>
              <w:t>smoore@eastendtrialgroup.com</w:t>
            </w:r>
          </w:p>
        </w:tc>
      </w:tr>
      <w:bookmarkEnd w:id="0"/>
      <w:bookmarkEnd w:id="15"/>
    </w:tbl>
    <w:p w14:paraId="49F11277" w14:textId="5053AD0C" w:rsidR="00803BC2" w:rsidRPr="0045244E" w:rsidRDefault="00803BC2" w:rsidP="00A40C0F">
      <w:pPr>
        <w:spacing w:line="480" w:lineRule="auto"/>
        <w:jc w:val="both"/>
        <w:rPr>
          <w:szCs w:val="24"/>
        </w:rPr>
      </w:pPr>
      <w:r w:rsidRPr="0045244E">
        <w:rPr>
          <w:szCs w:val="24"/>
        </w:rPr>
        <w:br w:type="page"/>
      </w:r>
    </w:p>
    <w:p w14:paraId="06B321FF" w14:textId="77777777" w:rsidR="00803BC2" w:rsidRPr="00547656" w:rsidRDefault="00803BC2" w:rsidP="00A40C0F">
      <w:pPr>
        <w:jc w:val="center"/>
        <w:rPr>
          <w:b/>
          <w:bCs/>
          <w:szCs w:val="24"/>
          <w:u w:val="single"/>
        </w:rPr>
      </w:pPr>
      <w:r w:rsidRPr="00547656">
        <w:rPr>
          <w:b/>
          <w:bCs/>
          <w:szCs w:val="24"/>
          <w:u w:val="single"/>
        </w:rPr>
        <w:lastRenderedPageBreak/>
        <w:t>CERTIFICATE OF SERVICE</w:t>
      </w:r>
    </w:p>
    <w:p w14:paraId="212BF25B" w14:textId="77777777" w:rsidR="00803BC2" w:rsidRPr="00547656" w:rsidRDefault="00803BC2" w:rsidP="00A40C0F">
      <w:pPr>
        <w:tabs>
          <w:tab w:val="left" w:pos="4320"/>
        </w:tabs>
        <w:rPr>
          <w:szCs w:val="24"/>
        </w:rPr>
      </w:pPr>
    </w:p>
    <w:p w14:paraId="2406FCDC" w14:textId="5D7764E5" w:rsidR="000F47C5" w:rsidRPr="00234490" w:rsidRDefault="00803BC2" w:rsidP="00A40C0F">
      <w:pPr>
        <w:spacing w:line="480" w:lineRule="auto"/>
        <w:jc w:val="both"/>
        <w:rPr>
          <w:szCs w:val="24"/>
        </w:rPr>
      </w:pPr>
      <w:r w:rsidRPr="00547656">
        <w:rPr>
          <w:szCs w:val="24"/>
        </w:rPr>
        <w:tab/>
      </w:r>
      <w:r w:rsidR="000F47C5" w:rsidRPr="00547656">
        <w:rPr>
          <w:szCs w:val="24"/>
        </w:rPr>
        <w:t xml:space="preserve">I </w:t>
      </w:r>
      <w:r w:rsidR="000F47C5" w:rsidRPr="00B61C4C">
        <w:rPr>
          <w:szCs w:val="24"/>
        </w:rPr>
        <w:t>hereby certify that</w:t>
      </w:r>
      <w:r w:rsidR="00C5091C" w:rsidRPr="00B61C4C">
        <w:rPr>
          <w:szCs w:val="24"/>
        </w:rPr>
        <w:t>,</w:t>
      </w:r>
      <w:r w:rsidR="000F47C5" w:rsidRPr="00B61C4C">
        <w:rPr>
          <w:szCs w:val="24"/>
        </w:rPr>
        <w:t xml:space="preserve"> on </w:t>
      </w:r>
      <w:r w:rsidR="00B61C4C" w:rsidRPr="00B61C4C">
        <w:rPr>
          <w:szCs w:val="24"/>
        </w:rPr>
        <w:t>November 18</w:t>
      </w:r>
      <w:r w:rsidR="000F47C5" w:rsidRPr="00B61C4C">
        <w:rPr>
          <w:szCs w:val="24"/>
        </w:rPr>
        <w:t>, 2022, a</w:t>
      </w:r>
      <w:r w:rsidR="000F47C5" w:rsidRPr="00234490">
        <w:rPr>
          <w:szCs w:val="24"/>
        </w:rPr>
        <w:t xml:space="preserve"> true and correct copy of the foregoing document was filed and served by way of the Court’s CM/ECF system on </w:t>
      </w:r>
      <w:r w:rsidR="00084554" w:rsidRPr="00234490">
        <w:rPr>
          <w:szCs w:val="24"/>
        </w:rPr>
        <w:t xml:space="preserve">all </w:t>
      </w:r>
      <w:r w:rsidR="000F47C5" w:rsidRPr="00234490">
        <w:rPr>
          <w:szCs w:val="24"/>
        </w:rPr>
        <w:t>counsel of record.</w:t>
      </w:r>
    </w:p>
    <w:p w14:paraId="1ED59F1F" w14:textId="77777777" w:rsidR="00C5091C" w:rsidRPr="00234490" w:rsidRDefault="00C5091C" w:rsidP="00A40C0F">
      <w:pPr>
        <w:spacing w:line="480" w:lineRule="auto"/>
        <w:jc w:val="both"/>
        <w:rPr>
          <w:szCs w:val="24"/>
        </w:rPr>
      </w:pPr>
    </w:p>
    <w:p w14:paraId="3B1F4350" w14:textId="77777777" w:rsidR="000F47C5" w:rsidRPr="00234490" w:rsidRDefault="000F47C5" w:rsidP="00A40C0F">
      <w:pPr>
        <w:spacing w:line="480" w:lineRule="auto"/>
        <w:ind w:left="4680"/>
        <w:jc w:val="both"/>
        <w:rPr>
          <w:szCs w:val="24"/>
        </w:rPr>
      </w:pPr>
      <w:r w:rsidRPr="00234490">
        <w:rPr>
          <w:szCs w:val="24"/>
        </w:rPr>
        <w:t>Respectfully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F47C5" w:rsidRPr="00234490" w14:paraId="5E88D0D5" w14:textId="77777777" w:rsidTr="00712A5B">
        <w:tc>
          <w:tcPr>
            <w:tcW w:w="4675" w:type="dxa"/>
            <w:vAlign w:val="bottom"/>
          </w:tcPr>
          <w:p w14:paraId="3966212A" w14:textId="1E5F216D" w:rsidR="000F47C5" w:rsidRPr="00234490" w:rsidRDefault="000F47C5" w:rsidP="00A40C0F">
            <w:pPr>
              <w:spacing w:line="276" w:lineRule="auto"/>
              <w:rPr>
                <w:bCs/>
                <w:szCs w:val="24"/>
              </w:rPr>
            </w:pPr>
            <w:r w:rsidRPr="00234490">
              <w:rPr>
                <w:bCs/>
                <w:szCs w:val="24"/>
              </w:rPr>
              <w:t xml:space="preserve">Dated: </w:t>
            </w:r>
            <w:r w:rsidR="00234490" w:rsidRPr="00234490">
              <w:rPr>
                <w:bCs/>
                <w:szCs w:val="24"/>
              </w:rPr>
              <w:t>October 28</w:t>
            </w:r>
            <w:r w:rsidRPr="00234490">
              <w:rPr>
                <w:bCs/>
                <w:szCs w:val="24"/>
              </w:rPr>
              <w:t>, 2022</w:t>
            </w:r>
          </w:p>
        </w:tc>
        <w:tc>
          <w:tcPr>
            <w:tcW w:w="4675" w:type="dxa"/>
            <w:tcBorders>
              <w:bottom w:val="single" w:sz="8" w:space="0" w:color="auto"/>
            </w:tcBorders>
            <w:vAlign w:val="bottom"/>
          </w:tcPr>
          <w:p w14:paraId="1E131E94" w14:textId="77777777" w:rsidR="000F47C5" w:rsidRPr="00234490" w:rsidRDefault="000F47C5" w:rsidP="00A40C0F">
            <w:pPr>
              <w:spacing w:line="276" w:lineRule="auto"/>
              <w:rPr>
                <w:bCs/>
                <w:i/>
                <w:iCs/>
                <w:szCs w:val="24"/>
              </w:rPr>
            </w:pPr>
            <w:r w:rsidRPr="00234490">
              <w:rPr>
                <w:bCs/>
                <w:i/>
                <w:iCs/>
                <w:szCs w:val="24"/>
              </w:rPr>
              <w:t>/s/ Kevin W. Tucker</w:t>
            </w:r>
          </w:p>
        </w:tc>
      </w:tr>
      <w:tr w:rsidR="000F47C5" w:rsidRPr="004A70F5" w14:paraId="50C3A9C4" w14:textId="77777777" w:rsidTr="00712A5B">
        <w:tc>
          <w:tcPr>
            <w:tcW w:w="4675" w:type="dxa"/>
            <w:vAlign w:val="bottom"/>
          </w:tcPr>
          <w:p w14:paraId="41C056A4" w14:textId="77777777" w:rsidR="000F47C5" w:rsidRPr="00234490" w:rsidRDefault="000F47C5" w:rsidP="00A40C0F">
            <w:pPr>
              <w:spacing w:line="276" w:lineRule="auto"/>
              <w:rPr>
                <w:bCs/>
                <w:szCs w:val="24"/>
              </w:rPr>
            </w:pPr>
          </w:p>
        </w:tc>
        <w:tc>
          <w:tcPr>
            <w:tcW w:w="4675" w:type="dxa"/>
            <w:tcBorders>
              <w:top w:val="single" w:sz="8" w:space="0" w:color="auto"/>
            </w:tcBorders>
            <w:vAlign w:val="bottom"/>
          </w:tcPr>
          <w:p w14:paraId="0AC8B490" w14:textId="50775D31" w:rsidR="000F47C5" w:rsidRPr="004A70F5" w:rsidRDefault="000F47C5" w:rsidP="00A40C0F">
            <w:pPr>
              <w:spacing w:line="276" w:lineRule="auto"/>
              <w:rPr>
                <w:bCs/>
                <w:szCs w:val="24"/>
              </w:rPr>
            </w:pPr>
            <w:r w:rsidRPr="00234490">
              <w:rPr>
                <w:bCs/>
                <w:szCs w:val="24"/>
              </w:rPr>
              <w:t>Kevin W. Tucker</w:t>
            </w:r>
          </w:p>
        </w:tc>
      </w:tr>
      <w:bookmarkEnd w:id="1"/>
    </w:tbl>
    <w:p w14:paraId="35227A1B" w14:textId="77777777" w:rsidR="004E1063" w:rsidRPr="00746814" w:rsidRDefault="004E1063" w:rsidP="00A40C0F">
      <w:pPr>
        <w:spacing w:line="480" w:lineRule="auto"/>
        <w:jc w:val="both"/>
        <w:rPr>
          <w:szCs w:val="24"/>
        </w:rPr>
      </w:pPr>
    </w:p>
    <w:sectPr w:rsidR="004E1063" w:rsidRPr="00746814" w:rsidSect="00F7107B">
      <w:footerReference w:type="default" r:id="rId26"/>
      <w:footerReference w:type="firs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74CE" w14:textId="77777777" w:rsidR="0061292C" w:rsidRDefault="0061292C" w:rsidP="00E25DBC">
      <w:r>
        <w:separator/>
      </w:r>
    </w:p>
  </w:endnote>
  <w:endnote w:type="continuationSeparator" w:id="0">
    <w:p w14:paraId="5CF14E36" w14:textId="77777777" w:rsidR="0061292C" w:rsidRDefault="0061292C" w:rsidP="00E2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435805"/>
      <w:docPartObj>
        <w:docPartGallery w:val="Page Numbers (Bottom of Page)"/>
        <w:docPartUnique/>
      </w:docPartObj>
    </w:sdtPr>
    <w:sdtEndPr>
      <w:rPr>
        <w:noProof/>
      </w:rPr>
    </w:sdtEndPr>
    <w:sdtContent>
      <w:p w14:paraId="3D4DCD1B" w14:textId="56831BF2" w:rsidR="000E111E" w:rsidRDefault="000E111E" w:rsidP="00855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86134"/>
      <w:docPartObj>
        <w:docPartGallery w:val="Page Numbers (Bottom of Page)"/>
        <w:docPartUnique/>
      </w:docPartObj>
    </w:sdtPr>
    <w:sdtEndPr>
      <w:rPr>
        <w:noProof/>
      </w:rPr>
    </w:sdtEndPr>
    <w:sdtContent>
      <w:p w14:paraId="167D2EF5" w14:textId="2A28EB4D" w:rsidR="000C1211" w:rsidRDefault="000C1211" w:rsidP="00855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862497"/>
      <w:docPartObj>
        <w:docPartGallery w:val="Page Numbers (Bottom of Page)"/>
        <w:docPartUnique/>
      </w:docPartObj>
    </w:sdtPr>
    <w:sdtEndPr>
      <w:rPr>
        <w:noProof/>
      </w:rPr>
    </w:sdtEndPr>
    <w:sdtContent>
      <w:p w14:paraId="0E7A23E8" w14:textId="49975E09" w:rsidR="000E111E" w:rsidRDefault="000E111E" w:rsidP="00855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0400" w14:textId="77777777" w:rsidR="000E111E" w:rsidRDefault="000E1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BF3D" w14:textId="77777777" w:rsidR="0061292C" w:rsidRDefault="0061292C" w:rsidP="00E25DBC">
      <w:r>
        <w:separator/>
      </w:r>
    </w:p>
  </w:footnote>
  <w:footnote w:type="continuationSeparator" w:id="0">
    <w:p w14:paraId="5CF12A9B" w14:textId="77777777" w:rsidR="0061292C" w:rsidRDefault="0061292C" w:rsidP="00E25DBC">
      <w:r>
        <w:continuationSeparator/>
      </w:r>
    </w:p>
  </w:footnote>
  <w:footnote w:id="1">
    <w:p w14:paraId="7818C23C" w14:textId="69267B01" w:rsidR="00351639" w:rsidRPr="00A007EE" w:rsidRDefault="00351639" w:rsidP="0085551D">
      <w:pPr>
        <w:pStyle w:val="FootnoteText"/>
        <w:spacing w:after="120"/>
        <w:jc w:val="both"/>
        <w:rPr>
          <w:sz w:val="24"/>
          <w:szCs w:val="24"/>
          <w:highlight w:val="yellow"/>
        </w:rPr>
      </w:pPr>
      <w:r w:rsidRPr="009E2511">
        <w:rPr>
          <w:rStyle w:val="FootnoteReference"/>
          <w:sz w:val="24"/>
          <w:szCs w:val="24"/>
        </w:rPr>
        <w:footnoteRef/>
      </w:r>
      <w:r w:rsidRPr="009E2511">
        <w:rPr>
          <w:sz w:val="24"/>
          <w:szCs w:val="24"/>
        </w:rPr>
        <w:t xml:space="preserve"> </w:t>
      </w:r>
      <w:r w:rsidR="00C25590" w:rsidRPr="009E2511">
        <w:rPr>
          <w:sz w:val="24"/>
          <w:szCs w:val="24"/>
        </w:rPr>
        <w:t>The proposed Agreement is attached as Exhibit 1</w:t>
      </w:r>
      <w:r w:rsidR="00E52D35">
        <w:rPr>
          <w:sz w:val="24"/>
          <w:szCs w:val="24"/>
        </w:rPr>
        <w:t xml:space="preserve"> to Plaintiff’s motion</w:t>
      </w:r>
      <w:r w:rsidRPr="009E2511">
        <w:rPr>
          <w:sz w:val="24"/>
          <w:szCs w:val="24"/>
        </w:rPr>
        <w:t>.</w:t>
      </w:r>
    </w:p>
  </w:footnote>
  <w:footnote w:id="2">
    <w:p w14:paraId="7C7EE55C" w14:textId="1571C151" w:rsidR="00191450" w:rsidRPr="009C6524" w:rsidRDefault="00191450" w:rsidP="00191450">
      <w:pPr>
        <w:pStyle w:val="FootnoteText"/>
        <w:spacing w:after="120"/>
        <w:jc w:val="both"/>
        <w:rPr>
          <w:sz w:val="24"/>
          <w:szCs w:val="24"/>
        </w:rPr>
      </w:pPr>
      <w:r w:rsidRPr="009C6524">
        <w:rPr>
          <w:rStyle w:val="FootnoteReference"/>
          <w:sz w:val="24"/>
          <w:szCs w:val="24"/>
        </w:rPr>
        <w:footnoteRef/>
      </w:r>
      <w:r w:rsidRPr="009C6524">
        <w:rPr>
          <w:sz w:val="24"/>
          <w:szCs w:val="24"/>
        </w:rPr>
        <w:t xml:space="preserve"> </w:t>
      </w:r>
      <w:r w:rsidRPr="00BD63BE">
        <w:rPr>
          <w:sz w:val="24"/>
          <w:szCs w:val="24"/>
        </w:rPr>
        <w:t xml:space="preserve">Douglass uses the word “blind” to describe </w:t>
      </w:r>
      <w:r>
        <w:rPr>
          <w:sz w:val="24"/>
          <w:szCs w:val="24"/>
        </w:rPr>
        <w:t>people</w:t>
      </w:r>
      <w:r w:rsidRPr="00BD63BE">
        <w:rPr>
          <w:sz w:val="24"/>
          <w:szCs w:val="24"/>
        </w:rPr>
        <w:t xml:space="preserve"> who, as a result of a visual impairment, have substantially limited eyesight. This includes </w:t>
      </w:r>
      <w:r>
        <w:rPr>
          <w:sz w:val="24"/>
          <w:szCs w:val="24"/>
        </w:rPr>
        <w:t>people</w:t>
      </w:r>
      <w:r w:rsidRPr="00BD63BE">
        <w:rPr>
          <w:sz w:val="24"/>
          <w:szCs w:val="24"/>
        </w:rPr>
        <w:t xml:space="preserve"> who have no vision at all as well as </w:t>
      </w:r>
      <w:r>
        <w:rPr>
          <w:sz w:val="24"/>
          <w:szCs w:val="24"/>
        </w:rPr>
        <w:t>those</w:t>
      </w:r>
      <w:r w:rsidRPr="00BD63BE">
        <w:rPr>
          <w:sz w:val="24"/>
          <w:szCs w:val="24"/>
        </w:rPr>
        <w:t xml:space="preserve"> who have low vision.</w:t>
      </w:r>
      <w:r>
        <w:rPr>
          <w:sz w:val="24"/>
          <w:szCs w:val="24"/>
        </w:rPr>
        <w:t xml:space="preserve"> </w:t>
      </w:r>
      <w:r w:rsidRPr="00BD63BE">
        <w:rPr>
          <w:i/>
          <w:iCs/>
          <w:sz w:val="24"/>
          <w:szCs w:val="24"/>
        </w:rPr>
        <w:t>See</w:t>
      </w:r>
      <w:r>
        <w:rPr>
          <w:sz w:val="24"/>
          <w:szCs w:val="24"/>
        </w:rPr>
        <w:t xml:space="preserve"> </w:t>
      </w:r>
      <w:r w:rsidRPr="00BD63BE">
        <w:rPr>
          <w:sz w:val="24"/>
          <w:szCs w:val="24"/>
        </w:rPr>
        <w:t xml:space="preserve">James H. </w:t>
      </w:r>
      <w:r w:rsidRPr="00BD63BE">
        <w:rPr>
          <w:sz w:val="24"/>
          <w:szCs w:val="24"/>
        </w:rPr>
        <w:t>Omvig,</w:t>
      </w:r>
      <w:r>
        <w:rPr>
          <w:sz w:val="24"/>
          <w:szCs w:val="24"/>
        </w:rPr>
        <w:t xml:space="preserve"> </w:t>
      </w:r>
      <w:r w:rsidRPr="00BD63BE">
        <w:rPr>
          <w:i/>
          <w:iCs/>
          <w:sz w:val="24"/>
          <w:szCs w:val="24"/>
        </w:rPr>
        <w:t>Why Use the Word “Blind”?</w:t>
      </w:r>
      <w:r w:rsidRPr="00BD63BE">
        <w:rPr>
          <w:sz w:val="24"/>
          <w:szCs w:val="24"/>
        </w:rPr>
        <w:t>, Braille Monitor (Jan.</w:t>
      </w:r>
      <w:r>
        <w:rPr>
          <w:sz w:val="24"/>
          <w:szCs w:val="24"/>
        </w:rPr>
        <w:t xml:space="preserve"> </w:t>
      </w:r>
      <w:r w:rsidRPr="00BD63BE">
        <w:rPr>
          <w:sz w:val="24"/>
          <w:szCs w:val="24"/>
        </w:rPr>
        <w:t>2009),</w:t>
      </w:r>
      <w:r>
        <w:rPr>
          <w:sz w:val="24"/>
          <w:szCs w:val="24"/>
        </w:rPr>
        <w:t xml:space="preserve"> </w:t>
      </w:r>
      <w:hyperlink r:id="rId1" w:history="1">
        <w:r w:rsidR="00B61C4C" w:rsidRPr="004A1AE5">
          <w:rPr>
            <w:rStyle w:val="Hyperlink"/>
            <w:sz w:val="24"/>
            <w:szCs w:val="24"/>
          </w:rPr>
          <w:t>https://nfb.org//sites/default/files/images/nfb/publications/bm/bm09/bm0901/bm090107.htm</w:t>
        </w:r>
      </w:hyperlink>
      <w:r w:rsidR="00B61C4C">
        <w:rPr>
          <w:sz w:val="24"/>
          <w:szCs w:val="24"/>
        </w:rPr>
        <w:t xml:space="preserve">. </w:t>
      </w:r>
    </w:p>
  </w:footnote>
  <w:footnote w:id="3">
    <w:p w14:paraId="520A9171" w14:textId="1C43B841" w:rsidR="000E111E" w:rsidRPr="00C42ACF" w:rsidRDefault="000E111E" w:rsidP="0085551D">
      <w:pPr>
        <w:pStyle w:val="FootnoteText"/>
        <w:spacing w:after="120"/>
        <w:jc w:val="both"/>
        <w:rPr>
          <w:sz w:val="24"/>
          <w:szCs w:val="24"/>
        </w:rPr>
      </w:pPr>
      <w:r w:rsidRPr="005C2A9C">
        <w:rPr>
          <w:rStyle w:val="FootnoteReference"/>
          <w:sz w:val="24"/>
          <w:szCs w:val="24"/>
        </w:rPr>
        <w:footnoteRef/>
      </w:r>
      <w:r w:rsidRPr="005C2A9C">
        <w:rPr>
          <w:sz w:val="24"/>
          <w:szCs w:val="24"/>
        </w:rPr>
        <w:t xml:space="preserve"> </w:t>
      </w:r>
      <w:r w:rsidR="0093295B" w:rsidRPr="005C2A9C">
        <w:rPr>
          <w:i/>
          <w:iCs/>
          <w:sz w:val="24"/>
          <w:szCs w:val="24"/>
        </w:rPr>
        <w:t>See Justice Department Secures Agreement with Rite Aid Corporation to Make Its Online COVID-19 Vaccine Registration Portal Accessible to Individuals with Disabilities</w:t>
      </w:r>
      <w:r w:rsidR="0093295B" w:rsidRPr="005C2A9C">
        <w:rPr>
          <w:sz w:val="24"/>
          <w:szCs w:val="24"/>
        </w:rPr>
        <w:t xml:space="preserve">, </w:t>
      </w:r>
      <w:r w:rsidR="00AC30A8" w:rsidRPr="005C2A9C">
        <w:rPr>
          <w:sz w:val="24"/>
          <w:szCs w:val="24"/>
        </w:rPr>
        <w:t>DOJ (</w:t>
      </w:r>
      <w:r w:rsidR="0093295B" w:rsidRPr="005C2A9C">
        <w:rPr>
          <w:sz w:val="24"/>
          <w:szCs w:val="24"/>
        </w:rPr>
        <w:t>Nov. 1, 2021</w:t>
      </w:r>
      <w:r w:rsidR="00AC30A8" w:rsidRPr="005C2A9C">
        <w:rPr>
          <w:sz w:val="24"/>
          <w:szCs w:val="24"/>
        </w:rPr>
        <w:t>)</w:t>
      </w:r>
      <w:r w:rsidR="0093295B" w:rsidRPr="005C2A9C">
        <w:rPr>
          <w:sz w:val="24"/>
          <w:szCs w:val="24"/>
        </w:rPr>
        <w:t xml:space="preserve">, </w:t>
      </w:r>
      <w:bookmarkStart w:id="5" w:name="_Hlk114138638"/>
      <w:r w:rsidR="009E5CB4" w:rsidRPr="00C42ACF">
        <w:rPr>
          <w:sz w:val="24"/>
          <w:szCs w:val="24"/>
        </w:rPr>
        <w:fldChar w:fldCharType="begin"/>
      </w:r>
      <w:r w:rsidR="009E5CB4" w:rsidRPr="00C42ACF">
        <w:rPr>
          <w:sz w:val="24"/>
          <w:szCs w:val="24"/>
        </w:rPr>
        <w:instrText xml:space="preserve"> HYPERLINK "https://www.justice.gov/opa/pr/justice-department-secures-agreement-rite-aid-corporation</w:instrText>
      </w:r>
      <w:r w:rsidR="009E5CB4" w:rsidRPr="00C42ACF">
        <w:rPr>
          <w:sz w:val="24"/>
          <w:szCs w:val="24"/>
        </w:rPr>
        <w:br/>
        <w:instrText xml:space="preserve">-make-its-online-covid-19-vaccine" </w:instrText>
      </w:r>
      <w:r w:rsidR="009E5CB4" w:rsidRPr="00C42ACF">
        <w:rPr>
          <w:sz w:val="24"/>
          <w:szCs w:val="24"/>
        </w:rPr>
      </w:r>
      <w:r w:rsidR="009E5CB4" w:rsidRPr="00C42ACF">
        <w:rPr>
          <w:sz w:val="24"/>
          <w:szCs w:val="24"/>
        </w:rPr>
        <w:fldChar w:fldCharType="separate"/>
      </w:r>
      <w:r w:rsidR="009E5CB4" w:rsidRPr="00C42ACF">
        <w:rPr>
          <w:rStyle w:val="Hyperlink"/>
          <w:sz w:val="24"/>
          <w:szCs w:val="24"/>
        </w:rPr>
        <w:t>https://www.justice.gov/opa/pr/justice-department-secures-agreement-rite-aid-corporation</w:t>
      </w:r>
      <w:r w:rsidR="009E5CB4" w:rsidRPr="00C42ACF">
        <w:rPr>
          <w:rStyle w:val="Hyperlink"/>
          <w:sz w:val="24"/>
          <w:szCs w:val="24"/>
        </w:rPr>
        <w:br/>
        <w:t>-make-its-online-covid-19-vaccine</w:t>
      </w:r>
      <w:bookmarkEnd w:id="5"/>
      <w:r w:rsidR="009E5CB4" w:rsidRPr="00C42ACF">
        <w:rPr>
          <w:sz w:val="24"/>
          <w:szCs w:val="24"/>
        </w:rPr>
        <w:fldChar w:fldCharType="end"/>
      </w:r>
      <w:r w:rsidR="0093295B" w:rsidRPr="00C42ACF">
        <w:rPr>
          <w:sz w:val="24"/>
          <w:szCs w:val="24"/>
        </w:rPr>
        <w:t>.</w:t>
      </w:r>
    </w:p>
  </w:footnote>
  <w:footnote w:id="4">
    <w:p w14:paraId="458949C9" w14:textId="6C7B7EB2" w:rsidR="000E111E" w:rsidRPr="00A007EE" w:rsidRDefault="000E111E" w:rsidP="0085551D">
      <w:pPr>
        <w:pStyle w:val="FootnoteText"/>
        <w:spacing w:after="120"/>
        <w:jc w:val="both"/>
        <w:rPr>
          <w:sz w:val="24"/>
          <w:szCs w:val="24"/>
          <w:highlight w:val="yellow"/>
        </w:rPr>
      </w:pPr>
      <w:r w:rsidRPr="00C42ACF">
        <w:rPr>
          <w:rStyle w:val="FootnoteReference"/>
          <w:sz w:val="24"/>
          <w:szCs w:val="24"/>
        </w:rPr>
        <w:footnoteRef/>
      </w:r>
      <w:r w:rsidRPr="00C42ACF">
        <w:rPr>
          <w:sz w:val="24"/>
          <w:szCs w:val="24"/>
        </w:rPr>
        <w:t xml:space="preserve"> </w:t>
      </w:r>
      <w:r w:rsidR="0093295B" w:rsidRPr="00C42ACF">
        <w:rPr>
          <w:i/>
          <w:iCs/>
          <w:sz w:val="24"/>
          <w:szCs w:val="24"/>
        </w:rPr>
        <w:t>See</w:t>
      </w:r>
      <w:r w:rsidR="0093295B" w:rsidRPr="00C42ACF">
        <w:rPr>
          <w:sz w:val="24"/>
          <w:szCs w:val="24"/>
        </w:rPr>
        <w:t xml:space="preserve"> </w:t>
      </w:r>
      <w:r w:rsidR="00764AC3" w:rsidRPr="00C42ACF">
        <w:rPr>
          <w:iCs/>
          <w:sz w:val="24"/>
          <w:szCs w:val="24"/>
        </w:rPr>
        <w:t xml:space="preserve">Settlement Between Penn State University and National Federation of the Blind, U.S. Department of Education, Office for Civil Rights, Docket No. 03-11-2020, </w:t>
      </w:r>
      <w:r w:rsidR="00764AC3" w:rsidRPr="00C42ACF">
        <w:rPr>
          <w:sz w:val="24"/>
          <w:szCs w:val="24"/>
        </w:rPr>
        <w:t xml:space="preserve">§§ III-V, </w:t>
      </w:r>
      <w:hyperlink r:id="rId2" w:history="1">
        <w:r w:rsidR="00764AC3" w:rsidRPr="00C42ACF">
          <w:rPr>
            <w:rStyle w:val="Hyperlink"/>
            <w:iCs/>
            <w:sz w:val="24"/>
            <w:szCs w:val="24"/>
          </w:rPr>
          <w:t>https://accessibility.psu.edu/nfbpsusettlement/</w:t>
        </w:r>
      </w:hyperlink>
      <w:r w:rsidR="00764AC3" w:rsidRPr="00C42ACF">
        <w:rPr>
          <w:iCs/>
          <w:sz w:val="24"/>
          <w:szCs w:val="24"/>
        </w:rPr>
        <w:t xml:space="preserve"> (last accessed Sept. 22, 2022).</w:t>
      </w:r>
    </w:p>
  </w:footnote>
  <w:footnote w:id="5">
    <w:p w14:paraId="03297F40" w14:textId="18ED2F06" w:rsidR="007D6838" w:rsidRPr="00A007EE" w:rsidRDefault="007D6838" w:rsidP="007D6838">
      <w:pPr>
        <w:pStyle w:val="FootnoteText"/>
        <w:spacing w:after="120"/>
        <w:jc w:val="both"/>
        <w:rPr>
          <w:sz w:val="24"/>
          <w:szCs w:val="24"/>
          <w:highlight w:val="yellow"/>
        </w:rPr>
      </w:pPr>
      <w:r w:rsidRPr="00B40961">
        <w:rPr>
          <w:rStyle w:val="FootnoteReference"/>
          <w:sz w:val="24"/>
          <w:szCs w:val="24"/>
        </w:rPr>
        <w:footnoteRef/>
      </w:r>
      <w:r w:rsidRPr="00B40961">
        <w:rPr>
          <w:sz w:val="24"/>
          <w:szCs w:val="24"/>
        </w:rPr>
        <w:t xml:space="preserve"> Plaintiff’s counsel</w:t>
      </w:r>
      <w:r w:rsidR="00B61C4C">
        <w:rPr>
          <w:sz w:val="24"/>
          <w:szCs w:val="24"/>
        </w:rPr>
        <w:t>’</w:t>
      </w:r>
      <w:r w:rsidRPr="00B40961">
        <w:rPr>
          <w:sz w:val="24"/>
          <w:szCs w:val="24"/>
        </w:rPr>
        <w:t xml:space="preserve">s resumes are attached as Exhibit </w:t>
      </w:r>
      <w:r w:rsidR="00867915">
        <w:rPr>
          <w:sz w:val="24"/>
          <w:szCs w:val="24"/>
        </w:rPr>
        <w:t>3</w:t>
      </w:r>
      <w:r w:rsidRPr="00B40961">
        <w:rPr>
          <w:sz w:val="24"/>
          <w:szCs w:val="24"/>
        </w:rPr>
        <w:t xml:space="preserve"> to Plaintiff’s motion.</w:t>
      </w:r>
    </w:p>
  </w:footnote>
  <w:footnote w:id="6">
    <w:p w14:paraId="4C3A4AF4" w14:textId="3229D82C" w:rsidR="00B61C4C" w:rsidRPr="00B61C4C" w:rsidRDefault="00B61C4C">
      <w:pPr>
        <w:pStyle w:val="FootnoteText"/>
        <w:rPr>
          <w:sz w:val="24"/>
          <w:szCs w:val="24"/>
        </w:rPr>
      </w:pPr>
      <w:r w:rsidRPr="00B61C4C">
        <w:rPr>
          <w:rStyle w:val="FootnoteReference"/>
          <w:sz w:val="24"/>
          <w:szCs w:val="24"/>
        </w:rPr>
        <w:footnoteRef/>
      </w:r>
      <w:r w:rsidRPr="00B61C4C">
        <w:rPr>
          <w:sz w:val="24"/>
          <w:szCs w:val="24"/>
        </w:rPr>
        <w:t xml:space="preserve"> The proposed </w:t>
      </w:r>
      <w:r>
        <w:rPr>
          <w:sz w:val="24"/>
          <w:szCs w:val="24"/>
        </w:rPr>
        <w:t>n</w:t>
      </w:r>
      <w:r w:rsidRPr="00B61C4C">
        <w:rPr>
          <w:sz w:val="24"/>
          <w:szCs w:val="24"/>
        </w:rPr>
        <w:t xml:space="preserve">otice </w:t>
      </w:r>
      <w:r>
        <w:rPr>
          <w:sz w:val="24"/>
          <w:szCs w:val="24"/>
        </w:rPr>
        <w:t>p</w:t>
      </w:r>
      <w:r w:rsidRPr="00B61C4C">
        <w:rPr>
          <w:sz w:val="24"/>
          <w:szCs w:val="24"/>
        </w:rPr>
        <w:t xml:space="preserve">lan is attached as Exhibit </w:t>
      </w:r>
      <w:r w:rsidR="00867915">
        <w:rPr>
          <w:sz w:val="24"/>
          <w:szCs w:val="24"/>
        </w:rPr>
        <w:t>2</w:t>
      </w:r>
      <w:r w:rsidRPr="00B61C4C">
        <w:rPr>
          <w:sz w:val="24"/>
          <w:szCs w:val="24"/>
        </w:rPr>
        <w:t xml:space="preserve"> to Plaintiff’s motion.</w:t>
      </w:r>
    </w:p>
  </w:footnote>
  <w:footnote w:id="7">
    <w:p w14:paraId="08B6288D" w14:textId="5A2AE91F" w:rsidR="00984421" w:rsidRPr="00D6675A" w:rsidRDefault="00984421" w:rsidP="00984421">
      <w:pPr>
        <w:pStyle w:val="FootnoteText"/>
        <w:spacing w:after="120"/>
        <w:jc w:val="both"/>
        <w:rPr>
          <w:sz w:val="24"/>
          <w:szCs w:val="24"/>
        </w:rPr>
      </w:pPr>
      <w:r w:rsidRPr="001153EF">
        <w:rPr>
          <w:rStyle w:val="FootnoteReference"/>
          <w:sz w:val="24"/>
          <w:szCs w:val="24"/>
        </w:rPr>
        <w:footnoteRef/>
      </w:r>
      <w:r w:rsidRPr="001153EF">
        <w:rPr>
          <w:sz w:val="24"/>
          <w:szCs w:val="24"/>
        </w:rPr>
        <w:t xml:space="preserve"> The proposed Long-Form Notice is attached as Exhibit </w:t>
      </w:r>
      <w:r w:rsidR="00B61C4C">
        <w:rPr>
          <w:sz w:val="24"/>
          <w:szCs w:val="24"/>
        </w:rPr>
        <w:t>B</w:t>
      </w:r>
      <w:r w:rsidRPr="001153EF">
        <w:rPr>
          <w:sz w:val="24"/>
          <w:szCs w:val="24"/>
        </w:rPr>
        <w:t xml:space="preserve"> to the Agreement</w:t>
      </w:r>
      <w:r w:rsidR="005B1FEE">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2DD"/>
    <w:multiLevelType w:val="hybridMultilevel"/>
    <w:tmpl w:val="851E35FC"/>
    <w:lvl w:ilvl="0" w:tplc="8054A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5E9C"/>
    <w:multiLevelType w:val="hybridMultilevel"/>
    <w:tmpl w:val="820A30FC"/>
    <w:lvl w:ilvl="0" w:tplc="4B94DD46">
      <w:start w:val="1"/>
      <w:numFmt w:val="upperRoman"/>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627120C"/>
    <w:multiLevelType w:val="hybridMultilevel"/>
    <w:tmpl w:val="568C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B22CE"/>
    <w:multiLevelType w:val="hybridMultilevel"/>
    <w:tmpl w:val="F0D830E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AB8C9D8A">
      <w:start w:val="1"/>
      <w:numFmt w:val="lowerRoman"/>
      <w:lvlText w:val="(%3)"/>
      <w:lvlJc w:val="left"/>
      <w:pPr>
        <w:ind w:left="3060" w:hanging="360"/>
      </w:pPr>
      <w:rPr>
        <w:rFonts w:hint="default"/>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CA50FA"/>
    <w:multiLevelType w:val="hybridMultilevel"/>
    <w:tmpl w:val="AD66CE14"/>
    <w:lvl w:ilvl="0" w:tplc="6FF445D6">
      <w:start w:val="1"/>
      <w:numFmt w:val="lowerLetter"/>
      <w:lvlText w:val="(%1)"/>
      <w:lvlJc w:val="left"/>
      <w:pPr>
        <w:ind w:left="2880" w:hanging="18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47AFD"/>
    <w:multiLevelType w:val="hybridMultilevel"/>
    <w:tmpl w:val="442233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AC12D6"/>
    <w:multiLevelType w:val="multilevel"/>
    <w:tmpl w:val="344A70FA"/>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A6487D"/>
    <w:multiLevelType w:val="hybridMultilevel"/>
    <w:tmpl w:val="D64A6F82"/>
    <w:lvl w:ilvl="0" w:tplc="1436CF32">
      <w:start w:val="1"/>
      <w:numFmt w:val="upperRoman"/>
      <w:lvlText w:val="%1."/>
      <w:lvlJc w:val="left"/>
      <w:pPr>
        <w:ind w:left="720" w:hanging="360"/>
      </w:pPr>
      <w:rPr>
        <w:rFonts w:hint="default"/>
        <w:b w:val="0"/>
        <w:bCs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8A88019C">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E2596"/>
    <w:multiLevelType w:val="hybridMultilevel"/>
    <w:tmpl w:val="4386B6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37C66E1"/>
    <w:multiLevelType w:val="hybridMultilevel"/>
    <w:tmpl w:val="35686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10128196">
    <w:abstractNumId w:val="7"/>
  </w:num>
  <w:num w:numId="2" w16cid:durableId="1260796662">
    <w:abstractNumId w:val="1"/>
  </w:num>
  <w:num w:numId="3" w16cid:durableId="581599097">
    <w:abstractNumId w:val="5"/>
  </w:num>
  <w:num w:numId="4" w16cid:durableId="1831629604">
    <w:abstractNumId w:val="3"/>
  </w:num>
  <w:num w:numId="5" w16cid:durableId="564071100">
    <w:abstractNumId w:val="4"/>
  </w:num>
  <w:num w:numId="6" w16cid:durableId="1853255113">
    <w:abstractNumId w:val="8"/>
  </w:num>
  <w:num w:numId="7" w16cid:durableId="681905626">
    <w:abstractNumId w:val="6"/>
  </w:num>
  <w:num w:numId="8" w16cid:durableId="757218165">
    <w:abstractNumId w:val="2"/>
  </w:num>
  <w:num w:numId="9" w16cid:durableId="1212569629">
    <w:abstractNumId w:val="9"/>
  </w:num>
  <w:num w:numId="10" w16cid:durableId="110160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0MDKyNDc2MTc0tDRQ0lEKTi0uzszPAykwNKkFABrJlf0tAAAA"/>
  </w:docVars>
  <w:rsids>
    <w:rsidRoot w:val="00CE4A1C"/>
    <w:rsid w:val="00000491"/>
    <w:rsid w:val="000016DA"/>
    <w:rsid w:val="00001E4D"/>
    <w:rsid w:val="00003122"/>
    <w:rsid w:val="00003B6B"/>
    <w:rsid w:val="00004148"/>
    <w:rsid w:val="00004AAD"/>
    <w:rsid w:val="00011B65"/>
    <w:rsid w:val="000125BE"/>
    <w:rsid w:val="00015DFE"/>
    <w:rsid w:val="00016836"/>
    <w:rsid w:val="00016839"/>
    <w:rsid w:val="000179C7"/>
    <w:rsid w:val="000179F9"/>
    <w:rsid w:val="00017AAB"/>
    <w:rsid w:val="000200F7"/>
    <w:rsid w:val="00020317"/>
    <w:rsid w:val="0002102D"/>
    <w:rsid w:val="000211D5"/>
    <w:rsid w:val="00022060"/>
    <w:rsid w:val="00022605"/>
    <w:rsid w:val="000236E3"/>
    <w:rsid w:val="00023BC1"/>
    <w:rsid w:val="00024898"/>
    <w:rsid w:val="00025630"/>
    <w:rsid w:val="00025AE5"/>
    <w:rsid w:val="00025BF5"/>
    <w:rsid w:val="00027F67"/>
    <w:rsid w:val="0003176A"/>
    <w:rsid w:val="00031C26"/>
    <w:rsid w:val="000323EF"/>
    <w:rsid w:val="00032679"/>
    <w:rsid w:val="0003272F"/>
    <w:rsid w:val="000340F3"/>
    <w:rsid w:val="0003425A"/>
    <w:rsid w:val="00035AC3"/>
    <w:rsid w:val="00035C36"/>
    <w:rsid w:val="000370FB"/>
    <w:rsid w:val="000373F0"/>
    <w:rsid w:val="00037C14"/>
    <w:rsid w:val="00040591"/>
    <w:rsid w:val="00041F59"/>
    <w:rsid w:val="000421CC"/>
    <w:rsid w:val="0004231C"/>
    <w:rsid w:val="00044A65"/>
    <w:rsid w:val="000452EA"/>
    <w:rsid w:val="00045F7A"/>
    <w:rsid w:val="00047217"/>
    <w:rsid w:val="00047F67"/>
    <w:rsid w:val="00050DEF"/>
    <w:rsid w:val="000511D6"/>
    <w:rsid w:val="00051FA9"/>
    <w:rsid w:val="00053AF5"/>
    <w:rsid w:val="00055D5F"/>
    <w:rsid w:val="00056EAF"/>
    <w:rsid w:val="00057403"/>
    <w:rsid w:val="000576AA"/>
    <w:rsid w:val="000615C5"/>
    <w:rsid w:val="00061C0C"/>
    <w:rsid w:val="00061C9D"/>
    <w:rsid w:val="00062091"/>
    <w:rsid w:val="0006265B"/>
    <w:rsid w:val="00062BD0"/>
    <w:rsid w:val="00063FF8"/>
    <w:rsid w:val="000644F8"/>
    <w:rsid w:val="0006541C"/>
    <w:rsid w:val="00065BBB"/>
    <w:rsid w:val="00065CAD"/>
    <w:rsid w:val="00070415"/>
    <w:rsid w:val="00070AF3"/>
    <w:rsid w:val="00071DD3"/>
    <w:rsid w:val="00073466"/>
    <w:rsid w:val="000747E2"/>
    <w:rsid w:val="000749FE"/>
    <w:rsid w:val="00075C2C"/>
    <w:rsid w:val="00075C7B"/>
    <w:rsid w:val="00076C31"/>
    <w:rsid w:val="00077B77"/>
    <w:rsid w:val="00077CBB"/>
    <w:rsid w:val="00077D5E"/>
    <w:rsid w:val="000803C9"/>
    <w:rsid w:val="0008060A"/>
    <w:rsid w:val="0008068C"/>
    <w:rsid w:val="00081112"/>
    <w:rsid w:val="00081252"/>
    <w:rsid w:val="0008239A"/>
    <w:rsid w:val="00082772"/>
    <w:rsid w:val="00082E09"/>
    <w:rsid w:val="00084554"/>
    <w:rsid w:val="00084875"/>
    <w:rsid w:val="00084BE9"/>
    <w:rsid w:val="00085835"/>
    <w:rsid w:val="00086459"/>
    <w:rsid w:val="00086BCC"/>
    <w:rsid w:val="00090CFE"/>
    <w:rsid w:val="00090EEB"/>
    <w:rsid w:val="000910F0"/>
    <w:rsid w:val="00091A24"/>
    <w:rsid w:val="000925C4"/>
    <w:rsid w:val="000939F4"/>
    <w:rsid w:val="00094284"/>
    <w:rsid w:val="00094623"/>
    <w:rsid w:val="00094B10"/>
    <w:rsid w:val="000971AF"/>
    <w:rsid w:val="000A024D"/>
    <w:rsid w:val="000A085C"/>
    <w:rsid w:val="000A1543"/>
    <w:rsid w:val="000A1C2F"/>
    <w:rsid w:val="000A2B2A"/>
    <w:rsid w:val="000A2C6A"/>
    <w:rsid w:val="000A3A9A"/>
    <w:rsid w:val="000A3CB5"/>
    <w:rsid w:val="000A420C"/>
    <w:rsid w:val="000A4369"/>
    <w:rsid w:val="000A541E"/>
    <w:rsid w:val="000A647B"/>
    <w:rsid w:val="000A709F"/>
    <w:rsid w:val="000B04F0"/>
    <w:rsid w:val="000B0D59"/>
    <w:rsid w:val="000B34F1"/>
    <w:rsid w:val="000B51DE"/>
    <w:rsid w:val="000B6517"/>
    <w:rsid w:val="000B758C"/>
    <w:rsid w:val="000B7D75"/>
    <w:rsid w:val="000C1211"/>
    <w:rsid w:val="000C140A"/>
    <w:rsid w:val="000C23B7"/>
    <w:rsid w:val="000C2611"/>
    <w:rsid w:val="000C2D7F"/>
    <w:rsid w:val="000C324F"/>
    <w:rsid w:val="000C4590"/>
    <w:rsid w:val="000C74A9"/>
    <w:rsid w:val="000D03C7"/>
    <w:rsid w:val="000D044D"/>
    <w:rsid w:val="000D0635"/>
    <w:rsid w:val="000D0FD9"/>
    <w:rsid w:val="000D1E8F"/>
    <w:rsid w:val="000D3823"/>
    <w:rsid w:val="000D3CFF"/>
    <w:rsid w:val="000D4968"/>
    <w:rsid w:val="000D659A"/>
    <w:rsid w:val="000D7A5C"/>
    <w:rsid w:val="000E0DD9"/>
    <w:rsid w:val="000E111E"/>
    <w:rsid w:val="000E22FB"/>
    <w:rsid w:val="000E25D6"/>
    <w:rsid w:val="000E2E38"/>
    <w:rsid w:val="000E437E"/>
    <w:rsid w:val="000E556A"/>
    <w:rsid w:val="000E5ABD"/>
    <w:rsid w:val="000E7F52"/>
    <w:rsid w:val="000F13EE"/>
    <w:rsid w:val="000F1DE8"/>
    <w:rsid w:val="000F2126"/>
    <w:rsid w:val="000F2177"/>
    <w:rsid w:val="000F2B08"/>
    <w:rsid w:val="000F33F6"/>
    <w:rsid w:val="000F3A02"/>
    <w:rsid w:val="000F47C5"/>
    <w:rsid w:val="000F5C78"/>
    <w:rsid w:val="000F65AB"/>
    <w:rsid w:val="000F6714"/>
    <w:rsid w:val="000F6928"/>
    <w:rsid w:val="000F6953"/>
    <w:rsid w:val="000F69D3"/>
    <w:rsid w:val="00102D5C"/>
    <w:rsid w:val="00102DE7"/>
    <w:rsid w:val="00102F5F"/>
    <w:rsid w:val="00103EEF"/>
    <w:rsid w:val="00107ED9"/>
    <w:rsid w:val="00111D41"/>
    <w:rsid w:val="00113B87"/>
    <w:rsid w:val="001153EF"/>
    <w:rsid w:val="00116219"/>
    <w:rsid w:val="0011729E"/>
    <w:rsid w:val="00120705"/>
    <w:rsid w:val="00120FEB"/>
    <w:rsid w:val="001227F7"/>
    <w:rsid w:val="00123CAC"/>
    <w:rsid w:val="00124878"/>
    <w:rsid w:val="00126A1B"/>
    <w:rsid w:val="00131B39"/>
    <w:rsid w:val="0013219D"/>
    <w:rsid w:val="00133AF3"/>
    <w:rsid w:val="00134840"/>
    <w:rsid w:val="00137198"/>
    <w:rsid w:val="00140D67"/>
    <w:rsid w:val="00141195"/>
    <w:rsid w:val="0014119E"/>
    <w:rsid w:val="001421FF"/>
    <w:rsid w:val="001436C3"/>
    <w:rsid w:val="00143A14"/>
    <w:rsid w:val="001446B6"/>
    <w:rsid w:val="00150212"/>
    <w:rsid w:val="001502E2"/>
    <w:rsid w:val="00152834"/>
    <w:rsid w:val="00152A36"/>
    <w:rsid w:val="001537C6"/>
    <w:rsid w:val="00154A78"/>
    <w:rsid w:val="00154C78"/>
    <w:rsid w:val="00154D21"/>
    <w:rsid w:val="001576CD"/>
    <w:rsid w:val="001623D3"/>
    <w:rsid w:val="00162D36"/>
    <w:rsid w:val="00162DBF"/>
    <w:rsid w:val="0016310D"/>
    <w:rsid w:val="001637B4"/>
    <w:rsid w:val="00163F2A"/>
    <w:rsid w:val="00164CD2"/>
    <w:rsid w:val="001656AF"/>
    <w:rsid w:val="00165CF4"/>
    <w:rsid w:val="00166D78"/>
    <w:rsid w:val="00167C33"/>
    <w:rsid w:val="00170DA3"/>
    <w:rsid w:val="0017634C"/>
    <w:rsid w:val="001772B0"/>
    <w:rsid w:val="001774CB"/>
    <w:rsid w:val="001777B5"/>
    <w:rsid w:val="00181677"/>
    <w:rsid w:val="00181F20"/>
    <w:rsid w:val="00183A6D"/>
    <w:rsid w:val="00183DC0"/>
    <w:rsid w:val="00184D50"/>
    <w:rsid w:val="00187023"/>
    <w:rsid w:val="0018723B"/>
    <w:rsid w:val="00187A31"/>
    <w:rsid w:val="0019068D"/>
    <w:rsid w:val="0019098E"/>
    <w:rsid w:val="00191450"/>
    <w:rsid w:val="0019173E"/>
    <w:rsid w:val="00191890"/>
    <w:rsid w:val="00191EA9"/>
    <w:rsid w:val="00192CEA"/>
    <w:rsid w:val="001937FC"/>
    <w:rsid w:val="00193C0B"/>
    <w:rsid w:val="00194A1A"/>
    <w:rsid w:val="00195437"/>
    <w:rsid w:val="00195C31"/>
    <w:rsid w:val="0019603F"/>
    <w:rsid w:val="0019675C"/>
    <w:rsid w:val="00197CB1"/>
    <w:rsid w:val="001A0168"/>
    <w:rsid w:val="001A0E52"/>
    <w:rsid w:val="001A3A89"/>
    <w:rsid w:val="001A5284"/>
    <w:rsid w:val="001A5670"/>
    <w:rsid w:val="001A5C12"/>
    <w:rsid w:val="001A60E7"/>
    <w:rsid w:val="001A6338"/>
    <w:rsid w:val="001A6647"/>
    <w:rsid w:val="001A6D2F"/>
    <w:rsid w:val="001A78F5"/>
    <w:rsid w:val="001A7A77"/>
    <w:rsid w:val="001B0BD4"/>
    <w:rsid w:val="001B240A"/>
    <w:rsid w:val="001B5CAA"/>
    <w:rsid w:val="001B5FB7"/>
    <w:rsid w:val="001B60A6"/>
    <w:rsid w:val="001B656B"/>
    <w:rsid w:val="001B7667"/>
    <w:rsid w:val="001B7A50"/>
    <w:rsid w:val="001C138F"/>
    <w:rsid w:val="001C19C9"/>
    <w:rsid w:val="001C1E58"/>
    <w:rsid w:val="001C42E9"/>
    <w:rsid w:val="001C5103"/>
    <w:rsid w:val="001D088A"/>
    <w:rsid w:val="001D088C"/>
    <w:rsid w:val="001D0BEA"/>
    <w:rsid w:val="001D19E2"/>
    <w:rsid w:val="001D1FE6"/>
    <w:rsid w:val="001D2206"/>
    <w:rsid w:val="001D2573"/>
    <w:rsid w:val="001D27C1"/>
    <w:rsid w:val="001D3B7E"/>
    <w:rsid w:val="001D4868"/>
    <w:rsid w:val="001D4F47"/>
    <w:rsid w:val="001D58F8"/>
    <w:rsid w:val="001D69A6"/>
    <w:rsid w:val="001D797E"/>
    <w:rsid w:val="001E0AFA"/>
    <w:rsid w:val="001E29E6"/>
    <w:rsid w:val="001E2E72"/>
    <w:rsid w:val="001E3079"/>
    <w:rsid w:val="001E3649"/>
    <w:rsid w:val="001E5F02"/>
    <w:rsid w:val="001E655E"/>
    <w:rsid w:val="001E6C8E"/>
    <w:rsid w:val="001E7182"/>
    <w:rsid w:val="001F040C"/>
    <w:rsid w:val="001F0557"/>
    <w:rsid w:val="001F1691"/>
    <w:rsid w:val="001F1834"/>
    <w:rsid w:val="001F207D"/>
    <w:rsid w:val="001F283D"/>
    <w:rsid w:val="001F330E"/>
    <w:rsid w:val="001F50DE"/>
    <w:rsid w:val="001F5489"/>
    <w:rsid w:val="001F5A97"/>
    <w:rsid w:val="001F5B6B"/>
    <w:rsid w:val="001F6B2D"/>
    <w:rsid w:val="001F6BB7"/>
    <w:rsid w:val="001F6EFF"/>
    <w:rsid w:val="00201532"/>
    <w:rsid w:val="00201869"/>
    <w:rsid w:val="0020234E"/>
    <w:rsid w:val="002035A9"/>
    <w:rsid w:val="00205589"/>
    <w:rsid w:val="0020559D"/>
    <w:rsid w:val="002055A1"/>
    <w:rsid w:val="0020660F"/>
    <w:rsid w:val="00206EA9"/>
    <w:rsid w:val="00206EFE"/>
    <w:rsid w:val="0020737B"/>
    <w:rsid w:val="00210B37"/>
    <w:rsid w:val="00210F17"/>
    <w:rsid w:val="00211111"/>
    <w:rsid w:val="00211636"/>
    <w:rsid w:val="0021189B"/>
    <w:rsid w:val="002125A9"/>
    <w:rsid w:val="00214546"/>
    <w:rsid w:val="002210BE"/>
    <w:rsid w:val="00221507"/>
    <w:rsid w:val="002217AA"/>
    <w:rsid w:val="002221F4"/>
    <w:rsid w:val="00222A77"/>
    <w:rsid w:val="00222F1C"/>
    <w:rsid w:val="00223CD6"/>
    <w:rsid w:val="00224F6A"/>
    <w:rsid w:val="00225393"/>
    <w:rsid w:val="00225651"/>
    <w:rsid w:val="0022597C"/>
    <w:rsid w:val="00227B17"/>
    <w:rsid w:val="00230E5C"/>
    <w:rsid w:val="00230FC7"/>
    <w:rsid w:val="002312DE"/>
    <w:rsid w:val="00231490"/>
    <w:rsid w:val="00231868"/>
    <w:rsid w:val="0023406F"/>
    <w:rsid w:val="00234490"/>
    <w:rsid w:val="002352FC"/>
    <w:rsid w:val="00236710"/>
    <w:rsid w:val="00240807"/>
    <w:rsid w:val="00241D69"/>
    <w:rsid w:val="00242289"/>
    <w:rsid w:val="00242AB0"/>
    <w:rsid w:val="00242C8D"/>
    <w:rsid w:val="00242EBB"/>
    <w:rsid w:val="00246116"/>
    <w:rsid w:val="002469E7"/>
    <w:rsid w:val="0024708F"/>
    <w:rsid w:val="002477EE"/>
    <w:rsid w:val="00247AFC"/>
    <w:rsid w:val="002504E1"/>
    <w:rsid w:val="00250C5A"/>
    <w:rsid w:val="00252690"/>
    <w:rsid w:val="00253701"/>
    <w:rsid w:val="0025594F"/>
    <w:rsid w:val="00255C09"/>
    <w:rsid w:val="00256F11"/>
    <w:rsid w:val="00257AE5"/>
    <w:rsid w:val="00257D93"/>
    <w:rsid w:val="0026083F"/>
    <w:rsid w:val="002627EC"/>
    <w:rsid w:val="00263348"/>
    <w:rsid w:val="002637F2"/>
    <w:rsid w:val="002647E3"/>
    <w:rsid w:val="00266AAF"/>
    <w:rsid w:val="002701E8"/>
    <w:rsid w:val="002708FD"/>
    <w:rsid w:val="00270CC6"/>
    <w:rsid w:val="00274366"/>
    <w:rsid w:val="00274A34"/>
    <w:rsid w:val="00275093"/>
    <w:rsid w:val="00275474"/>
    <w:rsid w:val="00276B97"/>
    <w:rsid w:val="00276C4A"/>
    <w:rsid w:val="00276C70"/>
    <w:rsid w:val="002806E9"/>
    <w:rsid w:val="00280A61"/>
    <w:rsid w:val="00280DFC"/>
    <w:rsid w:val="0028278E"/>
    <w:rsid w:val="0028434F"/>
    <w:rsid w:val="0028503A"/>
    <w:rsid w:val="0029230D"/>
    <w:rsid w:val="0029350B"/>
    <w:rsid w:val="002939E3"/>
    <w:rsid w:val="00294617"/>
    <w:rsid w:val="00294C66"/>
    <w:rsid w:val="00295E65"/>
    <w:rsid w:val="00295FDB"/>
    <w:rsid w:val="00296901"/>
    <w:rsid w:val="00296F72"/>
    <w:rsid w:val="00297422"/>
    <w:rsid w:val="00297521"/>
    <w:rsid w:val="002A0B44"/>
    <w:rsid w:val="002A0D24"/>
    <w:rsid w:val="002A0D61"/>
    <w:rsid w:val="002A0EA3"/>
    <w:rsid w:val="002A222C"/>
    <w:rsid w:val="002A267D"/>
    <w:rsid w:val="002A2F83"/>
    <w:rsid w:val="002A40E5"/>
    <w:rsid w:val="002A4866"/>
    <w:rsid w:val="002A4E84"/>
    <w:rsid w:val="002A523F"/>
    <w:rsid w:val="002A58B8"/>
    <w:rsid w:val="002A654C"/>
    <w:rsid w:val="002B0A2F"/>
    <w:rsid w:val="002B3083"/>
    <w:rsid w:val="002B3FAB"/>
    <w:rsid w:val="002B4DD9"/>
    <w:rsid w:val="002B6E39"/>
    <w:rsid w:val="002B767A"/>
    <w:rsid w:val="002C003C"/>
    <w:rsid w:val="002C0C81"/>
    <w:rsid w:val="002C20EB"/>
    <w:rsid w:val="002C2A66"/>
    <w:rsid w:val="002C310A"/>
    <w:rsid w:val="002C3A6A"/>
    <w:rsid w:val="002C4256"/>
    <w:rsid w:val="002C501F"/>
    <w:rsid w:val="002C5A2B"/>
    <w:rsid w:val="002C6092"/>
    <w:rsid w:val="002C68E3"/>
    <w:rsid w:val="002C7235"/>
    <w:rsid w:val="002D1127"/>
    <w:rsid w:val="002D259B"/>
    <w:rsid w:val="002D2996"/>
    <w:rsid w:val="002D2ACB"/>
    <w:rsid w:val="002D30A5"/>
    <w:rsid w:val="002D3DD6"/>
    <w:rsid w:val="002D4ABB"/>
    <w:rsid w:val="002D5309"/>
    <w:rsid w:val="002D684F"/>
    <w:rsid w:val="002E0C4D"/>
    <w:rsid w:val="002E1C8A"/>
    <w:rsid w:val="002E494E"/>
    <w:rsid w:val="002E5277"/>
    <w:rsid w:val="002E548E"/>
    <w:rsid w:val="002E5F48"/>
    <w:rsid w:val="002E6242"/>
    <w:rsid w:val="002E6966"/>
    <w:rsid w:val="002E69F1"/>
    <w:rsid w:val="002E749D"/>
    <w:rsid w:val="002E7AE9"/>
    <w:rsid w:val="002E7C8F"/>
    <w:rsid w:val="002F02B9"/>
    <w:rsid w:val="002F0FA4"/>
    <w:rsid w:val="002F1891"/>
    <w:rsid w:val="002F38E6"/>
    <w:rsid w:val="002F3DEE"/>
    <w:rsid w:val="002F46BE"/>
    <w:rsid w:val="002F51FF"/>
    <w:rsid w:val="002F5AF0"/>
    <w:rsid w:val="002F5B28"/>
    <w:rsid w:val="003022CC"/>
    <w:rsid w:val="003032C6"/>
    <w:rsid w:val="00303CAE"/>
    <w:rsid w:val="003045FF"/>
    <w:rsid w:val="003049DF"/>
    <w:rsid w:val="00304BB4"/>
    <w:rsid w:val="0030611E"/>
    <w:rsid w:val="00306839"/>
    <w:rsid w:val="00310260"/>
    <w:rsid w:val="0031340F"/>
    <w:rsid w:val="00313CFF"/>
    <w:rsid w:val="00314CBD"/>
    <w:rsid w:val="00315E9F"/>
    <w:rsid w:val="0031799F"/>
    <w:rsid w:val="00320837"/>
    <w:rsid w:val="003218FD"/>
    <w:rsid w:val="00321946"/>
    <w:rsid w:val="003240A7"/>
    <w:rsid w:val="00324FFB"/>
    <w:rsid w:val="003260B4"/>
    <w:rsid w:val="00326DF8"/>
    <w:rsid w:val="0033077A"/>
    <w:rsid w:val="00330CDC"/>
    <w:rsid w:val="00330E9C"/>
    <w:rsid w:val="003311B7"/>
    <w:rsid w:val="003316FB"/>
    <w:rsid w:val="00333A08"/>
    <w:rsid w:val="00334306"/>
    <w:rsid w:val="00334809"/>
    <w:rsid w:val="0033545C"/>
    <w:rsid w:val="003359AC"/>
    <w:rsid w:val="00336FCA"/>
    <w:rsid w:val="00337444"/>
    <w:rsid w:val="00337F08"/>
    <w:rsid w:val="0034112D"/>
    <w:rsid w:val="00341D6A"/>
    <w:rsid w:val="003423E6"/>
    <w:rsid w:val="0034250E"/>
    <w:rsid w:val="00342E59"/>
    <w:rsid w:val="0034718A"/>
    <w:rsid w:val="00347753"/>
    <w:rsid w:val="00347A0B"/>
    <w:rsid w:val="00347B66"/>
    <w:rsid w:val="0035058B"/>
    <w:rsid w:val="00350C5E"/>
    <w:rsid w:val="00350CE9"/>
    <w:rsid w:val="00350FD1"/>
    <w:rsid w:val="00351639"/>
    <w:rsid w:val="00352335"/>
    <w:rsid w:val="0035246F"/>
    <w:rsid w:val="00354F06"/>
    <w:rsid w:val="00355EB9"/>
    <w:rsid w:val="00356E88"/>
    <w:rsid w:val="00361AF6"/>
    <w:rsid w:val="00362002"/>
    <w:rsid w:val="00363DC4"/>
    <w:rsid w:val="00366E63"/>
    <w:rsid w:val="003673B2"/>
    <w:rsid w:val="00371307"/>
    <w:rsid w:val="003722F9"/>
    <w:rsid w:val="003724AE"/>
    <w:rsid w:val="00372A52"/>
    <w:rsid w:val="00374780"/>
    <w:rsid w:val="00374F9B"/>
    <w:rsid w:val="00375FAD"/>
    <w:rsid w:val="0037737A"/>
    <w:rsid w:val="0038007D"/>
    <w:rsid w:val="00380138"/>
    <w:rsid w:val="00380638"/>
    <w:rsid w:val="003815CC"/>
    <w:rsid w:val="003828B9"/>
    <w:rsid w:val="00382925"/>
    <w:rsid w:val="00383E68"/>
    <w:rsid w:val="00385831"/>
    <w:rsid w:val="0038645C"/>
    <w:rsid w:val="003878BC"/>
    <w:rsid w:val="00395745"/>
    <w:rsid w:val="00397CEF"/>
    <w:rsid w:val="003A0233"/>
    <w:rsid w:val="003A08EC"/>
    <w:rsid w:val="003A0ACC"/>
    <w:rsid w:val="003A0AEB"/>
    <w:rsid w:val="003A31DD"/>
    <w:rsid w:val="003A3D59"/>
    <w:rsid w:val="003A3F61"/>
    <w:rsid w:val="003A52DF"/>
    <w:rsid w:val="003A689C"/>
    <w:rsid w:val="003A697D"/>
    <w:rsid w:val="003A718E"/>
    <w:rsid w:val="003A7608"/>
    <w:rsid w:val="003A7F88"/>
    <w:rsid w:val="003B0678"/>
    <w:rsid w:val="003B0886"/>
    <w:rsid w:val="003B2E8F"/>
    <w:rsid w:val="003B36C1"/>
    <w:rsid w:val="003B386D"/>
    <w:rsid w:val="003B3B00"/>
    <w:rsid w:val="003B3BC5"/>
    <w:rsid w:val="003B5E1D"/>
    <w:rsid w:val="003B7172"/>
    <w:rsid w:val="003C0D39"/>
    <w:rsid w:val="003C158E"/>
    <w:rsid w:val="003C3233"/>
    <w:rsid w:val="003C370D"/>
    <w:rsid w:val="003C5FD1"/>
    <w:rsid w:val="003C7793"/>
    <w:rsid w:val="003D09B4"/>
    <w:rsid w:val="003D0B96"/>
    <w:rsid w:val="003D17A8"/>
    <w:rsid w:val="003D193D"/>
    <w:rsid w:val="003D2238"/>
    <w:rsid w:val="003D341A"/>
    <w:rsid w:val="003D3EC5"/>
    <w:rsid w:val="003D5089"/>
    <w:rsid w:val="003D5215"/>
    <w:rsid w:val="003D5D2C"/>
    <w:rsid w:val="003D79C0"/>
    <w:rsid w:val="003E0962"/>
    <w:rsid w:val="003E0D9C"/>
    <w:rsid w:val="003E1530"/>
    <w:rsid w:val="003E1885"/>
    <w:rsid w:val="003E1C57"/>
    <w:rsid w:val="003E1FD3"/>
    <w:rsid w:val="003E4D1E"/>
    <w:rsid w:val="003E50BF"/>
    <w:rsid w:val="003E5489"/>
    <w:rsid w:val="003E5C9A"/>
    <w:rsid w:val="003E6623"/>
    <w:rsid w:val="003E736B"/>
    <w:rsid w:val="003E7BAF"/>
    <w:rsid w:val="003F0056"/>
    <w:rsid w:val="003F0143"/>
    <w:rsid w:val="003F0424"/>
    <w:rsid w:val="003F309A"/>
    <w:rsid w:val="003F3FEA"/>
    <w:rsid w:val="003F46D5"/>
    <w:rsid w:val="003F5037"/>
    <w:rsid w:val="003F74A4"/>
    <w:rsid w:val="003F7A69"/>
    <w:rsid w:val="0040025A"/>
    <w:rsid w:val="00400984"/>
    <w:rsid w:val="0040123F"/>
    <w:rsid w:val="004018FD"/>
    <w:rsid w:val="00402834"/>
    <w:rsid w:val="00403246"/>
    <w:rsid w:val="0040399B"/>
    <w:rsid w:val="004043D3"/>
    <w:rsid w:val="00404429"/>
    <w:rsid w:val="004048E8"/>
    <w:rsid w:val="00404986"/>
    <w:rsid w:val="004052D7"/>
    <w:rsid w:val="004053D4"/>
    <w:rsid w:val="004056B3"/>
    <w:rsid w:val="004056B6"/>
    <w:rsid w:val="0040584F"/>
    <w:rsid w:val="00406521"/>
    <w:rsid w:val="0040703F"/>
    <w:rsid w:val="004074BC"/>
    <w:rsid w:val="00407659"/>
    <w:rsid w:val="00411D18"/>
    <w:rsid w:val="004131B8"/>
    <w:rsid w:val="00413602"/>
    <w:rsid w:val="0041445E"/>
    <w:rsid w:val="00415D68"/>
    <w:rsid w:val="00416336"/>
    <w:rsid w:val="00417FFB"/>
    <w:rsid w:val="004204D2"/>
    <w:rsid w:val="00422AB7"/>
    <w:rsid w:val="00424368"/>
    <w:rsid w:val="004244B0"/>
    <w:rsid w:val="004300B9"/>
    <w:rsid w:val="00432AB5"/>
    <w:rsid w:val="00433757"/>
    <w:rsid w:val="00435BD7"/>
    <w:rsid w:val="00435FF5"/>
    <w:rsid w:val="0043779A"/>
    <w:rsid w:val="0044176A"/>
    <w:rsid w:val="00442019"/>
    <w:rsid w:val="00445704"/>
    <w:rsid w:val="00445FC3"/>
    <w:rsid w:val="004473C4"/>
    <w:rsid w:val="00450AE6"/>
    <w:rsid w:val="00451473"/>
    <w:rsid w:val="0045244E"/>
    <w:rsid w:val="004543AB"/>
    <w:rsid w:val="00455027"/>
    <w:rsid w:val="0045664F"/>
    <w:rsid w:val="004566F6"/>
    <w:rsid w:val="00456AE1"/>
    <w:rsid w:val="00461B96"/>
    <w:rsid w:val="00461C73"/>
    <w:rsid w:val="0046395D"/>
    <w:rsid w:val="00463A0F"/>
    <w:rsid w:val="00464C0B"/>
    <w:rsid w:val="004666A6"/>
    <w:rsid w:val="0047049D"/>
    <w:rsid w:val="004711DE"/>
    <w:rsid w:val="00471C74"/>
    <w:rsid w:val="00471F83"/>
    <w:rsid w:val="004725C3"/>
    <w:rsid w:val="004731B3"/>
    <w:rsid w:val="004746E3"/>
    <w:rsid w:val="00475458"/>
    <w:rsid w:val="00475DFD"/>
    <w:rsid w:val="00476C16"/>
    <w:rsid w:val="0048050F"/>
    <w:rsid w:val="0048274D"/>
    <w:rsid w:val="00482F12"/>
    <w:rsid w:val="0048363D"/>
    <w:rsid w:val="004837FA"/>
    <w:rsid w:val="00483D6C"/>
    <w:rsid w:val="00484E6B"/>
    <w:rsid w:val="00485764"/>
    <w:rsid w:val="004864D3"/>
    <w:rsid w:val="004866D3"/>
    <w:rsid w:val="004872B2"/>
    <w:rsid w:val="004874FD"/>
    <w:rsid w:val="00487635"/>
    <w:rsid w:val="00487B7C"/>
    <w:rsid w:val="004919F5"/>
    <w:rsid w:val="00494FC3"/>
    <w:rsid w:val="00496D2E"/>
    <w:rsid w:val="00497E38"/>
    <w:rsid w:val="004A08EF"/>
    <w:rsid w:val="004A3A83"/>
    <w:rsid w:val="004A4272"/>
    <w:rsid w:val="004A4572"/>
    <w:rsid w:val="004A62E3"/>
    <w:rsid w:val="004A70F5"/>
    <w:rsid w:val="004A7565"/>
    <w:rsid w:val="004A7D82"/>
    <w:rsid w:val="004B01B5"/>
    <w:rsid w:val="004B0C71"/>
    <w:rsid w:val="004B136F"/>
    <w:rsid w:val="004B357F"/>
    <w:rsid w:val="004B5698"/>
    <w:rsid w:val="004B6D8D"/>
    <w:rsid w:val="004B7AB0"/>
    <w:rsid w:val="004C1B7A"/>
    <w:rsid w:val="004C3270"/>
    <w:rsid w:val="004C62CE"/>
    <w:rsid w:val="004C69F6"/>
    <w:rsid w:val="004C6A4F"/>
    <w:rsid w:val="004C6FC5"/>
    <w:rsid w:val="004C71D6"/>
    <w:rsid w:val="004C7F87"/>
    <w:rsid w:val="004D24B5"/>
    <w:rsid w:val="004D32B6"/>
    <w:rsid w:val="004D3D86"/>
    <w:rsid w:val="004D4845"/>
    <w:rsid w:val="004D550F"/>
    <w:rsid w:val="004D5EDA"/>
    <w:rsid w:val="004D7266"/>
    <w:rsid w:val="004D78FC"/>
    <w:rsid w:val="004D7FED"/>
    <w:rsid w:val="004E0153"/>
    <w:rsid w:val="004E1063"/>
    <w:rsid w:val="004E34D1"/>
    <w:rsid w:val="004E3884"/>
    <w:rsid w:val="004E3F71"/>
    <w:rsid w:val="004E43D5"/>
    <w:rsid w:val="004E4752"/>
    <w:rsid w:val="004E52E4"/>
    <w:rsid w:val="004E5347"/>
    <w:rsid w:val="004E5BF0"/>
    <w:rsid w:val="004F0880"/>
    <w:rsid w:val="004F0ACE"/>
    <w:rsid w:val="004F0C6B"/>
    <w:rsid w:val="004F17C6"/>
    <w:rsid w:val="004F3391"/>
    <w:rsid w:val="004F3CA6"/>
    <w:rsid w:val="004F4272"/>
    <w:rsid w:val="004F48BA"/>
    <w:rsid w:val="004F6253"/>
    <w:rsid w:val="00500D4F"/>
    <w:rsid w:val="0050138D"/>
    <w:rsid w:val="0050205E"/>
    <w:rsid w:val="00503295"/>
    <w:rsid w:val="00504A9F"/>
    <w:rsid w:val="00504AF9"/>
    <w:rsid w:val="00505DBB"/>
    <w:rsid w:val="00506DA2"/>
    <w:rsid w:val="00510A41"/>
    <w:rsid w:val="00511590"/>
    <w:rsid w:val="0051174F"/>
    <w:rsid w:val="0051470F"/>
    <w:rsid w:val="00514E63"/>
    <w:rsid w:val="005157C8"/>
    <w:rsid w:val="005163E7"/>
    <w:rsid w:val="00516F68"/>
    <w:rsid w:val="00517A6F"/>
    <w:rsid w:val="00517E65"/>
    <w:rsid w:val="0052086E"/>
    <w:rsid w:val="00520C04"/>
    <w:rsid w:val="00527DCD"/>
    <w:rsid w:val="00527E84"/>
    <w:rsid w:val="0053274E"/>
    <w:rsid w:val="00532CE8"/>
    <w:rsid w:val="00532D1B"/>
    <w:rsid w:val="00532D36"/>
    <w:rsid w:val="00533180"/>
    <w:rsid w:val="005334A5"/>
    <w:rsid w:val="00534132"/>
    <w:rsid w:val="00535194"/>
    <w:rsid w:val="00535806"/>
    <w:rsid w:val="0053659F"/>
    <w:rsid w:val="005369FA"/>
    <w:rsid w:val="005403B7"/>
    <w:rsid w:val="00541870"/>
    <w:rsid w:val="005422F7"/>
    <w:rsid w:val="00542854"/>
    <w:rsid w:val="00542CE0"/>
    <w:rsid w:val="00544EC9"/>
    <w:rsid w:val="00545203"/>
    <w:rsid w:val="00545F89"/>
    <w:rsid w:val="00546A6B"/>
    <w:rsid w:val="005472E7"/>
    <w:rsid w:val="005475D0"/>
    <w:rsid w:val="00547656"/>
    <w:rsid w:val="00551119"/>
    <w:rsid w:val="00551120"/>
    <w:rsid w:val="00552042"/>
    <w:rsid w:val="00553958"/>
    <w:rsid w:val="0055423E"/>
    <w:rsid w:val="005542DF"/>
    <w:rsid w:val="005545DC"/>
    <w:rsid w:val="00554FD4"/>
    <w:rsid w:val="00555447"/>
    <w:rsid w:val="00555C41"/>
    <w:rsid w:val="0055619D"/>
    <w:rsid w:val="00560419"/>
    <w:rsid w:val="005610F6"/>
    <w:rsid w:val="00561107"/>
    <w:rsid w:val="005618F1"/>
    <w:rsid w:val="00561EC9"/>
    <w:rsid w:val="005621F1"/>
    <w:rsid w:val="00562B5E"/>
    <w:rsid w:val="00563036"/>
    <w:rsid w:val="0056393B"/>
    <w:rsid w:val="00563F88"/>
    <w:rsid w:val="00565B05"/>
    <w:rsid w:val="00565F72"/>
    <w:rsid w:val="00566DCA"/>
    <w:rsid w:val="00567329"/>
    <w:rsid w:val="00567BC7"/>
    <w:rsid w:val="00571E56"/>
    <w:rsid w:val="00572336"/>
    <w:rsid w:val="005760A1"/>
    <w:rsid w:val="005778BC"/>
    <w:rsid w:val="00577965"/>
    <w:rsid w:val="00577B9B"/>
    <w:rsid w:val="00577D2E"/>
    <w:rsid w:val="00580475"/>
    <w:rsid w:val="00580B06"/>
    <w:rsid w:val="0058113D"/>
    <w:rsid w:val="00585FAC"/>
    <w:rsid w:val="005872D9"/>
    <w:rsid w:val="00587DBC"/>
    <w:rsid w:val="005931C0"/>
    <w:rsid w:val="005935AE"/>
    <w:rsid w:val="0059650D"/>
    <w:rsid w:val="005A05B4"/>
    <w:rsid w:val="005A05FA"/>
    <w:rsid w:val="005A1B8B"/>
    <w:rsid w:val="005A33BA"/>
    <w:rsid w:val="005A3F21"/>
    <w:rsid w:val="005A4BE3"/>
    <w:rsid w:val="005A55D1"/>
    <w:rsid w:val="005A57E5"/>
    <w:rsid w:val="005A5A64"/>
    <w:rsid w:val="005A5C38"/>
    <w:rsid w:val="005A7E0B"/>
    <w:rsid w:val="005B1273"/>
    <w:rsid w:val="005B1D82"/>
    <w:rsid w:val="005B1DF6"/>
    <w:rsid w:val="005B1FEE"/>
    <w:rsid w:val="005B5528"/>
    <w:rsid w:val="005B5D28"/>
    <w:rsid w:val="005B5F6C"/>
    <w:rsid w:val="005B6022"/>
    <w:rsid w:val="005B750D"/>
    <w:rsid w:val="005B7C1A"/>
    <w:rsid w:val="005B7F69"/>
    <w:rsid w:val="005C024B"/>
    <w:rsid w:val="005C06C8"/>
    <w:rsid w:val="005C0A01"/>
    <w:rsid w:val="005C1C61"/>
    <w:rsid w:val="005C254A"/>
    <w:rsid w:val="005C2A9C"/>
    <w:rsid w:val="005C53E5"/>
    <w:rsid w:val="005C5895"/>
    <w:rsid w:val="005C58B4"/>
    <w:rsid w:val="005C5B2D"/>
    <w:rsid w:val="005C625E"/>
    <w:rsid w:val="005C6F40"/>
    <w:rsid w:val="005C73D5"/>
    <w:rsid w:val="005D04E5"/>
    <w:rsid w:val="005D04E9"/>
    <w:rsid w:val="005D0BE2"/>
    <w:rsid w:val="005D0E95"/>
    <w:rsid w:val="005D1091"/>
    <w:rsid w:val="005D4460"/>
    <w:rsid w:val="005D6FC3"/>
    <w:rsid w:val="005D7667"/>
    <w:rsid w:val="005D788E"/>
    <w:rsid w:val="005D7F40"/>
    <w:rsid w:val="005E067E"/>
    <w:rsid w:val="005E2998"/>
    <w:rsid w:val="005E310C"/>
    <w:rsid w:val="005E3B0A"/>
    <w:rsid w:val="005E4089"/>
    <w:rsid w:val="005E578D"/>
    <w:rsid w:val="005E7DE4"/>
    <w:rsid w:val="005F2A77"/>
    <w:rsid w:val="005F3164"/>
    <w:rsid w:val="005F3345"/>
    <w:rsid w:val="005F4C7F"/>
    <w:rsid w:val="005F5E9E"/>
    <w:rsid w:val="005F608E"/>
    <w:rsid w:val="005F6F44"/>
    <w:rsid w:val="005F7211"/>
    <w:rsid w:val="0060024A"/>
    <w:rsid w:val="00600A74"/>
    <w:rsid w:val="006020E6"/>
    <w:rsid w:val="006021A3"/>
    <w:rsid w:val="006036DF"/>
    <w:rsid w:val="00603FD6"/>
    <w:rsid w:val="006046CA"/>
    <w:rsid w:val="00606314"/>
    <w:rsid w:val="0060640E"/>
    <w:rsid w:val="0060718D"/>
    <w:rsid w:val="00607E1D"/>
    <w:rsid w:val="00611276"/>
    <w:rsid w:val="00611340"/>
    <w:rsid w:val="0061292C"/>
    <w:rsid w:val="006129BD"/>
    <w:rsid w:val="00614065"/>
    <w:rsid w:val="006143CC"/>
    <w:rsid w:val="006147A3"/>
    <w:rsid w:val="00615539"/>
    <w:rsid w:val="006157FD"/>
    <w:rsid w:val="00617713"/>
    <w:rsid w:val="00620EC5"/>
    <w:rsid w:val="0062116D"/>
    <w:rsid w:val="00621989"/>
    <w:rsid w:val="00621AEF"/>
    <w:rsid w:val="00624892"/>
    <w:rsid w:val="00625410"/>
    <w:rsid w:val="00626277"/>
    <w:rsid w:val="0062751A"/>
    <w:rsid w:val="006333B8"/>
    <w:rsid w:val="00633C34"/>
    <w:rsid w:val="00633E94"/>
    <w:rsid w:val="00633F8F"/>
    <w:rsid w:val="00634423"/>
    <w:rsid w:val="00634A6C"/>
    <w:rsid w:val="00634EBC"/>
    <w:rsid w:val="006352E6"/>
    <w:rsid w:val="006353AF"/>
    <w:rsid w:val="006355A3"/>
    <w:rsid w:val="0063568C"/>
    <w:rsid w:val="00635B36"/>
    <w:rsid w:val="00635E28"/>
    <w:rsid w:val="0063612E"/>
    <w:rsid w:val="00636431"/>
    <w:rsid w:val="0063691F"/>
    <w:rsid w:val="00637069"/>
    <w:rsid w:val="0064095C"/>
    <w:rsid w:val="00640A1B"/>
    <w:rsid w:val="0064285C"/>
    <w:rsid w:val="00644481"/>
    <w:rsid w:val="006450DE"/>
    <w:rsid w:val="00645C1E"/>
    <w:rsid w:val="00646007"/>
    <w:rsid w:val="00646AFE"/>
    <w:rsid w:val="006470DA"/>
    <w:rsid w:val="00647128"/>
    <w:rsid w:val="00647134"/>
    <w:rsid w:val="006477EE"/>
    <w:rsid w:val="00647A25"/>
    <w:rsid w:val="0065064F"/>
    <w:rsid w:val="0065255B"/>
    <w:rsid w:val="00653B24"/>
    <w:rsid w:val="00653DE1"/>
    <w:rsid w:val="00653E56"/>
    <w:rsid w:val="006541EA"/>
    <w:rsid w:val="00654725"/>
    <w:rsid w:val="00654B1F"/>
    <w:rsid w:val="0065558D"/>
    <w:rsid w:val="006560B9"/>
    <w:rsid w:val="00656D57"/>
    <w:rsid w:val="00657584"/>
    <w:rsid w:val="0065773E"/>
    <w:rsid w:val="0066083B"/>
    <w:rsid w:val="00660AA2"/>
    <w:rsid w:val="006622AD"/>
    <w:rsid w:val="00662BD5"/>
    <w:rsid w:val="00662CF5"/>
    <w:rsid w:val="00662DBB"/>
    <w:rsid w:val="0066358B"/>
    <w:rsid w:val="006635AB"/>
    <w:rsid w:val="00663E18"/>
    <w:rsid w:val="006643F2"/>
    <w:rsid w:val="006646D5"/>
    <w:rsid w:val="00664DD6"/>
    <w:rsid w:val="00665EBA"/>
    <w:rsid w:val="00666F26"/>
    <w:rsid w:val="00670455"/>
    <w:rsid w:val="006715F9"/>
    <w:rsid w:val="0067164E"/>
    <w:rsid w:val="00671948"/>
    <w:rsid w:val="00671CF6"/>
    <w:rsid w:val="006723D9"/>
    <w:rsid w:val="00672558"/>
    <w:rsid w:val="00673E62"/>
    <w:rsid w:val="006750E1"/>
    <w:rsid w:val="00675B96"/>
    <w:rsid w:val="00677666"/>
    <w:rsid w:val="00677D00"/>
    <w:rsid w:val="00680256"/>
    <w:rsid w:val="00680969"/>
    <w:rsid w:val="00681C1E"/>
    <w:rsid w:val="00683D40"/>
    <w:rsid w:val="00684982"/>
    <w:rsid w:val="00685914"/>
    <w:rsid w:val="00685DF8"/>
    <w:rsid w:val="00687EE0"/>
    <w:rsid w:val="00690AF9"/>
    <w:rsid w:val="006913F1"/>
    <w:rsid w:val="00695C3B"/>
    <w:rsid w:val="00695C4D"/>
    <w:rsid w:val="00695CFF"/>
    <w:rsid w:val="006964BD"/>
    <w:rsid w:val="00697474"/>
    <w:rsid w:val="00697B76"/>
    <w:rsid w:val="006A0DAD"/>
    <w:rsid w:val="006A15F9"/>
    <w:rsid w:val="006A19B5"/>
    <w:rsid w:val="006A2678"/>
    <w:rsid w:val="006A2765"/>
    <w:rsid w:val="006A32CA"/>
    <w:rsid w:val="006A42F4"/>
    <w:rsid w:val="006A4F12"/>
    <w:rsid w:val="006B0D1D"/>
    <w:rsid w:val="006B1211"/>
    <w:rsid w:val="006B2214"/>
    <w:rsid w:val="006B317C"/>
    <w:rsid w:val="006B45DC"/>
    <w:rsid w:val="006B49EB"/>
    <w:rsid w:val="006B592E"/>
    <w:rsid w:val="006B6BEE"/>
    <w:rsid w:val="006B6D6C"/>
    <w:rsid w:val="006C1FB8"/>
    <w:rsid w:val="006C267E"/>
    <w:rsid w:val="006C325E"/>
    <w:rsid w:val="006C39CE"/>
    <w:rsid w:val="006C3FE2"/>
    <w:rsid w:val="006C42B7"/>
    <w:rsid w:val="006C5AB4"/>
    <w:rsid w:val="006C6009"/>
    <w:rsid w:val="006C671C"/>
    <w:rsid w:val="006C69B0"/>
    <w:rsid w:val="006C7448"/>
    <w:rsid w:val="006D06AB"/>
    <w:rsid w:val="006D0A81"/>
    <w:rsid w:val="006D0F56"/>
    <w:rsid w:val="006D1B3F"/>
    <w:rsid w:val="006D2AF5"/>
    <w:rsid w:val="006D3ED5"/>
    <w:rsid w:val="006D40ED"/>
    <w:rsid w:val="006D5061"/>
    <w:rsid w:val="006E0849"/>
    <w:rsid w:val="006E0BDC"/>
    <w:rsid w:val="006E3385"/>
    <w:rsid w:val="006E3E12"/>
    <w:rsid w:val="006E489A"/>
    <w:rsid w:val="006E58BB"/>
    <w:rsid w:val="006E74E9"/>
    <w:rsid w:val="006F0AD1"/>
    <w:rsid w:val="006F1768"/>
    <w:rsid w:val="006F1AFD"/>
    <w:rsid w:val="006F5C39"/>
    <w:rsid w:val="006F7073"/>
    <w:rsid w:val="006F7BB6"/>
    <w:rsid w:val="007008CB"/>
    <w:rsid w:val="00701899"/>
    <w:rsid w:val="0070196E"/>
    <w:rsid w:val="00701FAC"/>
    <w:rsid w:val="00702D99"/>
    <w:rsid w:val="00703189"/>
    <w:rsid w:val="007079DC"/>
    <w:rsid w:val="00710B03"/>
    <w:rsid w:val="00711965"/>
    <w:rsid w:val="00712583"/>
    <w:rsid w:val="007130D3"/>
    <w:rsid w:val="0071330B"/>
    <w:rsid w:val="00713C09"/>
    <w:rsid w:val="007143A7"/>
    <w:rsid w:val="007144B5"/>
    <w:rsid w:val="00714682"/>
    <w:rsid w:val="0071481D"/>
    <w:rsid w:val="007148BB"/>
    <w:rsid w:val="0071528E"/>
    <w:rsid w:val="007153AC"/>
    <w:rsid w:val="00715F03"/>
    <w:rsid w:val="0071778A"/>
    <w:rsid w:val="007228EC"/>
    <w:rsid w:val="007241D5"/>
    <w:rsid w:val="00724F23"/>
    <w:rsid w:val="00727DF1"/>
    <w:rsid w:val="00731E78"/>
    <w:rsid w:val="007323BE"/>
    <w:rsid w:val="007351B1"/>
    <w:rsid w:val="007356C3"/>
    <w:rsid w:val="00741A50"/>
    <w:rsid w:val="00742388"/>
    <w:rsid w:val="00742F1E"/>
    <w:rsid w:val="007440C3"/>
    <w:rsid w:val="007463B2"/>
    <w:rsid w:val="00746814"/>
    <w:rsid w:val="0074756C"/>
    <w:rsid w:val="007478A8"/>
    <w:rsid w:val="00750523"/>
    <w:rsid w:val="0075055D"/>
    <w:rsid w:val="00752990"/>
    <w:rsid w:val="0075342C"/>
    <w:rsid w:val="007547CA"/>
    <w:rsid w:val="00754FDE"/>
    <w:rsid w:val="00755E22"/>
    <w:rsid w:val="00756186"/>
    <w:rsid w:val="007578BD"/>
    <w:rsid w:val="00757B12"/>
    <w:rsid w:val="00757FC1"/>
    <w:rsid w:val="0076007A"/>
    <w:rsid w:val="00760B18"/>
    <w:rsid w:val="00760F09"/>
    <w:rsid w:val="0076187A"/>
    <w:rsid w:val="00761D1E"/>
    <w:rsid w:val="00762262"/>
    <w:rsid w:val="007636D3"/>
    <w:rsid w:val="00764A13"/>
    <w:rsid w:val="00764AC3"/>
    <w:rsid w:val="00765A27"/>
    <w:rsid w:val="00767063"/>
    <w:rsid w:val="00770254"/>
    <w:rsid w:val="00770DA6"/>
    <w:rsid w:val="00771CB3"/>
    <w:rsid w:val="00772DAC"/>
    <w:rsid w:val="00773026"/>
    <w:rsid w:val="00773E2D"/>
    <w:rsid w:val="007756B0"/>
    <w:rsid w:val="00775993"/>
    <w:rsid w:val="0078001A"/>
    <w:rsid w:val="0078037E"/>
    <w:rsid w:val="0078328F"/>
    <w:rsid w:val="00783D1D"/>
    <w:rsid w:val="0078404B"/>
    <w:rsid w:val="00784084"/>
    <w:rsid w:val="00784ACF"/>
    <w:rsid w:val="00785519"/>
    <w:rsid w:val="007858F8"/>
    <w:rsid w:val="00787770"/>
    <w:rsid w:val="00787C41"/>
    <w:rsid w:val="00791A21"/>
    <w:rsid w:val="00792F66"/>
    <w:rsid w:val="0079309A"/>
    <w:rsid w:val="007930EE"/>
    <w:rsid w:val="007936E5"/>
    <w:rsid w:val="00793EC5"/>
    <w:rsid w:val="00796090"/>
    <w:rsid w:val="00796504"/>
    <w:rsid w:val="00797269"/>
    <w:rsid w:val="007975E9"/>
    <w:rsid w:val="007A04A7"/>
    <w:rsid w:val="007A30C8"/>
    <w:rsid w:val="007A595E"/>
    <w:rsid w:val="007A614C"/>
    <w:rsid w:val="007A6FE3"/>
    <w:rsid w:val="007B03E0"/>
    <w:rsid w:val="007B05FD"/>
    <w:rsid w:val="007B16CA"/>
    <w:rsid w:val="007B20D7"/>
    <w:rsid w:val="007B2207"/>
    <w:rsid w:val="007B2754"/>
    <w:rsid w:val="007B2872"/>
    <w:rsid w:val="007B524D"/>
    <w:rsid w:val="007B5851"/>
    <w:rsid w:val="007B64F6"/>
    <w:rsid w:val="007B692F"/>
    <w:rsid w:val="007C1A29"/>
    <w:rsid w:val="007C3161"/>
    <w:rsid w:val="007C3727"/>
    <w:rsid w:val="007C4F59"/>
    <w:rsid w:val="007C514B"/>
    <w:rsid w:val="007C62E0"/>
    <w:rsid w:val="007C664E"/>
    <w:rsid w:val="007D22E5"/>
    <w:rsid w:val="007D2342"/>
    <w:rsid w:val="007D2626"/>
    <w:rsid w:val="007D39F9"/>
    <w:rsid w:val="007D41DC"/>
    <w:rsid w:val="007D5FC0"/>
    <w:rsid w:val="007D65FC"/>
    <w:rsid w:val="007D6838"/>
    <w:rsid w:val="007D6AC8"/>
    <w:rsid w:val="007E4F92"/>
    <w:rsid w:val="007E6369"/>
    <w:rsid w:val="007E751D"/>
    <w:rsid w:val="007F05CF"/>
    <w:rsid w:val="007F155D"/>
    <w:rsid w:val="007F2802"/>
    <w:rsid w:val="007F596D"/>
    <w:rsid w:val="007F6A5B"/>
    <w:rsid w:val="007F752A"/>
    <w:rsid w:val="007F7D42"/>
    <w:rsid w:val="00800042"/>
    <w:rsid w:val="008005AC"/>
    <w:rsid w:val="00800945"/>
    <w:rsid w:val="00802370"/>
    <w:rsid w:val="0080261E"/>
    <w:rsid w:val="00802AFC"/>
    <w:rsid w:val="00802B8D"/>
    <w:rsid w:val="00803A61"/>
    <w:rsid w:val="00803A75"/>
    <w:rsid w:val="00803BC2"/>
    <w:rsid w:val="00803FE4"/>
    <w:rsid w:val="0080529E"/>
    <w:rsid w:val="008062AD"/>
    <w:rsid w:val="0080648F"/>
    <w:rsid w:val="0080729E"/>
    <w:rsid w:val="00810504"/>
    <w:rsid w:val="00812827"/>
    <w:rsid w:val="0081322D"/>
    <w:rsid w:val="00813D4F"/>
    <w:rsid w:val="00813F05"/>
    <w:rsid w:val="0081578F"/>
    <w:rsid w:val="00817226"/>
    <w:rsid w:val="00817D91"/>
    <w:rsid w:val="0082131F"/>
    <w:rsid w:val="00823C9E"/>
    <w:rsid w:val="00823FDA"/>
    <w:rsid w:val="00825E89"/>
    <w:rsid w:val="00827B08"/>
    <w:rsid w:val="00831D90"/>
    <w:rsid w:val="00832D5A"/>
    <w:rsid w:val="00833115"/>
    <w:rsid w:val="00834761"/>
    <w:rsid w:val="00835677"/>
    <w:rsid w:val="00836308"/>
    <w:rsid w:val="00836698"/>
    <w:rsid w:val="00842E89"/>
    <w:rsid w:val="00844237"/>
    <w:rsid w:val="00844B47"/>
    <w:rsid w:val="00845534"/>
    <w:rsid w:val="00845AFF"/>
    <w:rsid w:val="008468A0"/>
    <w:rsid w:val="008469BC"/>
    <w:rsid w:val="00846B4F"/>
    <w:rsid w:val="0084707B"/>
    <w:rsid w:val="00847285"/>
    <w:rsid w:val="0084742D"/>
    <w:rsid w:val="00850555"/>
    <w:rsid w:val="00851C7A"/>
    <w:rsid w:val="008533DC"/>
    <w:rsid w:val="00853493"/>
    <w:rsid w:val="008544FD"/>
    <w:rsid w:val="00854BF0"/>
    <w:rsid w:val="008550F2"/>
    <w:rsid w:val="0085551D"/>
    <w:rsid w:val="00855752"/>
    <w:rsid w:val="008565E4"/>
    <w:rsid w:val="00860882"/>
    <w:rsid w:val="00861724"/>
    <w:rsid w:val="00861C1B"/>
    <w:rsid w:val="00861CBD"/>
    <w:rsid w:val="0086324C"/>
    <w:rsid w:val="00863BB4"/>
    <w:rsid w:val="00865DE2"/>
    <w:rsid w:val="008661F8"/>
    <w:rsid w:val="00866261"/>
    <w:rsid w:val="00867915"/>
    <w:rsid w:val="00870B9B"/>
    <w:rsid w:val="00871540"/>
    <w:rsid w:val="00871545"/>
    <w:rsid w:val="00872F3C"/>
    <w:rsid w:val="00872FB6"/>
    <w:rsid w:val="0087324E"/>
    <w:rsid w:val="00873835"/>
    <w:rsid w:val="00873F09"/>
    <w:rsid w:val="008750B4"/>
    <w:rsid w:val="00875314"/>
    <w:rsid w:val="008758EA"/>
    <w:rsid w:val="00875A8C"/>
    <w:rsid w:val="008770D0"/>
    <w:rsid w:val="0087721D"/>
    <w:rsid w:val="008773D5"/>
    <w:rsid w:val="00877D44"/>
    <w:rsid w:val="00880D9E"/>
    <w:rsid w:val="0088174C"/>
    <w:rsid w:val="00883930"/>
    <w:rsid w:val="00883A72"/>
    <w:rsid w:val="00884319"/>
    <w:rsid w:val="00884AB4"/>
    <w:rsid w:val="00884D56"/>
    <w:rsid w:val="00885814"/>
    <w:rsid w:val="00885EB7"/>
    <w:rsid w:val="008868BB"/>
    <w:rsid w:val="0088750B"/>
    <w:rsid w:val="00887AF7"/>
    <w:rsid w:val="00890096"/>
    <w:rsid w:val="008908F3"/>
    <w:rsid w:val="008909AB"/>
    <w:rsid w:val="00890F9E"/>
    <w:rsid w:val="00893917"/>
    <w:rsid w:val="008974C6"/>
    <w:rsid w:val="0089771A"/>
    <w:rsid w:val="008A0B65"/>
    <w:rsid w:val="008A2594"/>
    <w:rsid w:val="008A3C9F"/>
    <w:rsid w:val="008A3F48"/>
    <w:rsid w:val="008A52A1"/>
    <w:rsid w:val="008A5691"/>
    <w:rsid w:val="008A579B"/>
    <w:rsid w:val="008A57FC"/>
    <w:rsid w:val="008A72DE"/>
    <w:rsid w:val="008A7881"/>
    <w:rsid w:val="008A791A"/>
    <w:rsid w:val="008B10EF"/>
    <w:rsid w:val="008B1E37"/>
    <w:rsid w:val="008B30DF"/>
    <w:rsid w:val="008B3541"/>
    <w:rsid w:val="008B3F72"/>
    <w:rsid w:val="008B56B3"/>
    <w:rsid w:val="008B6C4E"/>
    <w:rsid w:val="008B7298"/>
    <w:rsid w:val="008B7493"/>
    <w:rsid w:val="008C0716"/>
    <w:rsid w:val="008C26D3"/>
    <w:rsid w:val="008C29C9"/>
    <w:rsid w:val="008C3627"/>
    <w:rsid w:val="008C3B8B"/>
    <w:rsid w:val="008C4426"/>
    <w:rsid w:val="008C4B4C"/>
    <w:rsid w:val="008C5832"/>
    <w:rsid w:val="008C5872"/>
    <w:rsid w:val="008C5A00"/>
    <w:rsid w:val="008C6472"/>
    <w:rsid w:val="008C65F0"/>
    <w:rsid w:val="008D10BD"/>
    <w:rsid w:val="008D2512"/>
    <w:rsid w:val="008D28DC"/>
    <w:rsid w:val="008D315F"/>
    <w:rsid w:val="008D6261"/>
    <w:rsid w:val="008D7952"/>
    <w:rsid w:val="008D7F3D"/>
    <w:rsid w:val="008E04B4"/>
    <w:rsid w:val="008E0FA4"/>
    <w:rsid w:val="008E1060"/>
    <w:rsid w:val="008E2BFC"/>
    <w:rsid w:val="008E47C9"/>
    <w:rsid w:val="008E7D3E"/>
    <w:rsid w:val="008F1904"/>
    <w:rsid w:val="008F2C51"/>
    <w:rsid w:val="008F369F"/>
    <w:rsid w:val="008F37C0"/>
    <w:rsid w:val="008F3E85"/>
    <w:rsid w:val="008F5583"/>
    <w:rsid w:val="008F5B16"/>
    <w:rsid w:val="008F7485"/>
    <w:rsid w:val="009000BB"/>
    <w:rsid w:val="00900BB6"/>
    <w:rsid w:val="009016A4"/>
    <w:rsid w:val="00901EF5"/>
    <w:rsid w:val="00904444"/>
    <w:rsid w:val="00904706"/>
    <w:rsid w:val="00904D25"/>
    <w:rsid w:val="00905046"/>
    <w:rsid w:val="00905699"/>
    <w:rsid w:val="00906752"/>
    <w:rsid w:val="00906FEB"/>
    <w:rsid w:val="00907918"/>
    <w:rsid w:val="009079A6"/>
    <w:rsid w:val="009114B8"/>
    <w:rsid w:val="00911567"/>
    <w:rsid w:val="00914867"/>
    <w:rsid w:val="009149AA"/>
    <w:rsid w:val="00914B31"/>
    <w:rsid w:val="00914D56"/>
    <w:rsid w:val="00917447"/>
    <w:rsid w:val="00921473"/>
    <w:rsid w:val="00921F85"/>
    <w:rsid w:val="009235BE"/>
    <w:rsid w:val="0092383E"/>
    <w:rsid w:val="00923D6A"/>
    <w:rsid w:val="00923E5F"/>
    <w:rsid w:val="00924287"/>
    <w:rsid w:val="009250E4"/>
    <w:rsid w:val="009325DB"/>
    <w:rsid w:val="0093295B"/>
    <w:rsid w:val="00933176"/>
    <w:rsid w:val="00933E9D"/>
    <w:rsid w:val="009346BA"/>
    <w:rsid w:val="0093504C"/>
    <w:rsid w:val="00935BA5"/>
    <w:rsid w:val="00935FEB"/>
    <w:rsid w:val="0093669C"/>
    <w:rsid w:val="0093799D"/>
    <w:rsid w:val="00937EFC"/>
    <w:rsid w:val="00941092"/>
    <w:rsid w:val="00941A56"/>
    <w:rsid w:val="009421B6"/>
    <w:rsid w:val="0094379C"/>
    <w:rsid w:val="0094387C"/>
    <w:rsid w:val="009438F7"/>
    <w:rsid w:val="00943B61"/>
    <w:rsid w:val="00944B59"/>
    <w:rsid w:val="00944DD2"/>
    <w:rsid w:val="0094623E"/>
    <w:rsid w:val="0094684D"/>
    <w:rsid w:val="009468E6"/>
    <w:rsid w:val="00946D44"/>
    <w:rsid w:val="009512FE"/>
    <w:rsid w:val="009550CD"/>
    <w:rsid w:val="009555D5"/>
    <w:rsid w:val="00956869"/>
    <w:rsid w:val="00957117"/>
    <w:rsid w:val="0095749A"/>
    <w:rsid w:val="0095759C"/>
    <w:rsid w:val="009575E6"/>
    <w:rsid w:val="009608B7"/>
    <w:rsid w:val="009624ED"/>
    <w:rsid w:val="00964F71"/>
    <w:rsid w:val="00965EC6"/>
    <w:rsid w:val="00966F78"/>
    <w:rsid w:val="00967299"/>
    <w:rsid w:val="009674AF"/>
    <w:rsid w:val="0096790B"/>
    <w:rsid w:val="0097047F"/>
    <w:rsid w:val="00970B92"/>
    <w:rsid w:val="0097233D"/>
    <w:rsid w:val="00972AAF"/>
    <w:rsid w:val="00972C24"/>
    <w:rsid w:val="00974D36"/>
    <w:rsid w:val="00974F26"/>
    <w:rsid w:val="00980A30"/>
    <w:rsid w:val="009815AC"/>
    <w:rsid w:val="00981EAC"/>
    <w:rsid w:val="00982591"/>
    <w:rsid w:val="0098264E"/>
    <w:rsid w:val="00982687"/>
    <w:rsid w:val="009827D0"/>
    <w:rsid w:val="00983108"/>
    <w:rsid w:val="00983349"/>
    <w:rsid w:val="00984421"/>
    <w:rsid w:val="0098562C"/>
    <w:rsid w:val="00987493"/>
    <w:rsid w:val="009903D4"/>
    <w:rsid w:val="009904E3"/>
    <w:rsid w:val="009909AC"/>
    <w:rsid w:val="00991599"/>
    <w:rsid w:val="009915BD"/>
    <w:rsid w:val="009917FF"/>
    <w:rsid w:val="00993607"/>
    <w:rsid w:val="00994A03"/>
    <w:rsid w:val="0099688B"/>
    <w:rsid w:val="00997A8C"/>
    <w:rsid w:val="009A00DA"/>
    <w:rsid w:val="009A313D"/>
    <w:rsid w:val="009A3FE1"/>
    <w:rsid w:val="009A65A2"/>
    <w:rsid w:val="009A7406"/>
    <w:rsid w:val="009A7546"/>
    <w:rsid w:val="009B0BC1"/>
    <w:rsid w:val="009B11F8"/>
    <w:rsid w:val="009B126B"/>
    <w:rsid w:val="009B28CC"/>
    <w:rsid w:val="009B33B4"/>
    <w:rsid w:val="009B3739"/>
    <w:rsid w:val="009B445B"/>
    <w:rsid w:val="009B49AA"/>
    <w:rsid w:val="009B4A9E"/>
    <w:rsid w:val="009B4BD3"/>
    <w:rsid w:val="009B5084"/>
    <w:rsid w:val="009B5540"/>
    <w:rsid w:val="009B55A1"/>
    <w:rsid w:val="009B5B96"/>
    <w:rsid w:val="009B68FE"/>
    <w:rsid w:val="009B6B9F"/>
    <w:rsid w:val="009B73A7"/>
    <w:rsid w:val="009C0015"/>
    <w:rsid w:val="009C0891"/>
    <w:rsid w:val="009C0C9C"/>
    <w:rsid w:val="009C0F5B"/>
    <w:rsid w:val="009C1E41"/>
    <w:rsid w:val="009C33EE"/>
    <w:rsid w:val="009C3C31"/>
    <w:rsid w:val="009C4B7B"/>
    <w:rsid w:val="009C4ECF"/>
    <w:rsid w:val="009C5033"/>
    <w:rsid w:val="009C5159"/>
    <w:rsid w:val="009C5F9F"/>
    <w:rsid w:val="009C619B"/>
    <w:rsid w:val="009C6E23"/>
    <w:rsid w:val="009C7BA6"/>
    <w:rsid w:val="009D10F6"/>
    <w:rsid w:val="009D34AC"/>
    <w:rsid w:val="009D4283"/>
    <w:rsid w:val="009D47D1"/>
    <w:rsid w:val="009D667E"/>
    <w:rsid w:val="009D7A07"/>
    <w:rsid w:val="009E07BC"/>
    <w:rsid w:val="009E2511"/>
    <w:rsid w:val="009E44F1"/>
    <w:rsid w:val="009E48AA"/>
    <w:rsid w:val="009E4C19"/>
    <w:rsid w:val="009E4E25"/>
    <w:rsid w:val="009E5906"/>
    <w:rsid w:val="009E5CB4"/>
    <w:rsid w:val="009E722A"/>
    <w:rsid w:val="009F0DDF"/>
    <w:rsid w:val="009F10D8"/>
    <w:rsid w:val="009F3D51"/>
    <w:rsid w:val="009F5860"/>
    <w:rsid w:val="009F5DC8"/>
    <w:rsid w:val="009F6148"/>
    <w:rsid w:val="009F70F7"/>
    <w:rsid w:val="009F7549"/>
    <w:rsid w:val="009F7612"/>
    <w:rsid w:val="009F7AC7"/>
    <w:rsid w:val="009F7E3F"/>
    <w:rsid w:val="00A007EE"/>
    <w:rsid w:val="00A01123"/>
    <w:rsid w:val="00A024A8"/>
    <w:rsid w:val="00A03D5B"/>
    <w:rsid w:val="00A041D3"/>
    <w:rsid w:val="00A054A6"/>
    <w:rsid w:val="00A05674"/>
    <w:rsid w:val="00A05C14"/>
    <w:rsid w:val="00A05CC5"/>
    <w:rsid w:val="00A05E4F"/>
    <w:rsid w:val="00A06814"/>
    <w:rsid w:val="00A06D76"/>
    <w:rsid w:val="00A11F19"/>
    <w:rsid w:val="00A121F7"/>
    <w:rsid w:val="00A169CF"/>
    <w:rsid w:val="00A16D42"/>
    <w:rsid w:val="00A20DE4"/>
    <w:rsid w:val="00A2182E"/>
    <w:rsid w:val="00A22C09"/>
    <w:rsid w:val="00A233AF"/>
    <w:rsid w:val="00A23CFE"/>
    <w:rsid w:val="00A257A7"/>
    <w:rsid w:val="00A26AD0"/>
    <w:rsid w:val="00A304DB"/>
    <w:rsid w:val="00A30C3B"/>
    <w:rsid w:val="00A31008"/>
    <w:rsid w:val="00A31C04"/>
    <w:rsid w:val="00A3234E"/>
    <w:rsid w:val="00A32C2A"/>
    <w:rsid w:val="00A34996"/>
    <w:rsid w:val="00A34D34"/>
    <w:rsid w:val="00A36432"/>
    <w:rsid w:val="00A36DEF"/>
    <w:rsid w:val="00A402EC"/>
    <w:rsid w:val="00A40C0F"/>
    <w:rsid w:val="00A40ED1"/>
    <w:rsid w:val="00A42606"/>
    <w:rsid w:val="00A42C80"/>
    <w:rsid w:val="00A4359C"/>
    <w:rsid w:val="00A4430D"/>
    <w:rsid w:val="00A44A29"/>
    <w:rsid w:val="00A45FF0"/>
    <w:rsid w:val="00A460A7"/>
    <w:rsid w:val="00A46544"/>
    <w:rsid w:val="00A46623"/>
    <w:rsid w:val="00A47551"/>
    <w:rsid w:val="00A47E6D"/>
    <w:rsid w:val="00A5237E"/>
    <w:rsid w:val="00A5251C"/>
    <w:rsid w:val="00A5417D"/>
    <w:rsid w:val="00A5627E"/>
    <w:rsid w:val="00A5658C"/>
    <w:rsid w:val="00A5659A"/>
    <w:rsid w:val="00A56F1D"/>
    <w:rsid w:val="00A5792A"/>
    <w:rsid w:val="00A60111"/>
    <w:rsid w:val="00A6153B"/>
    <w:rsid w:val="00A64163"/>
    <w:rsid w:val="00A65565"/>
    <w:rsid w:val="00A70B29"/>
    <w:rsid w:val="00A7160F"/>
    <w:rsid w:val="00A7164A"/>
    <w:rsid w:val="00A72DF4"/>
    <w:rsid w:val="00A73265"/>
    <w:rsid w:val="00A73DEC"/>
    <w:rsid w:val="00A73E37"/>
    <w:rsid w:val="00A74F37"/>
    <w:rsid w:val="00A753CA"/>
    <w:rsid w:val="00A75519"/>
    <w:rsid w:val="00A75B3E"/>
    <w:rsid w:val="00A763EF"/>
    <w:rsid w:val="00A771FC"/>
    <w:rsid w:val="00A80FD1"/>
    <w:rsid w:val="00A81341"/>
    <w:rsid w:val="00A81A59"/>
    <w:rsid w:val="00A81B5D"/>
    <w:rsid w:val="00A81DEA"/>
    <w:rsid w:val="00A81F9F"/>
    <w:rsid w:val="00A827ED"/>
    <w:rsid w:val="00A837FF"/>
    <w:rsid w:val="00A83D88"/>
    <w:rsid w:val="00A847E0"/>
    <w:rsid w:val="00A84C16"/>
    <w:rsid w:val="00A84CEC"/>
    <w:rsid w:val="00A85775"/>
    <w:rsid w:val="00A87F52"/>
    <w:rsid w:val="00A90FD3"/>
    <w:rsid w:val="00A919C8"/>
    <w:rsid w:val="00A940F1"/>
    <w:rsid w:val="00A9558B"/>
    <w:rsid w:val="00A960EB"/>
    <w:rsid w:val="00AA04A4"/>
    <w:rsid w:val="00AA1529"/>
    <w:rsid w:val="00AA23E3"/>
    <w:rsid w:val="00AA2790"/>
    <w:rsid w:val="00AA2928"/>
    <w:rsid w:val="00AA35EE"/>
    <w:rsid w:val="00AA4350"/>
    <w:rsid w:val="00AA51FF"/>
    <w:rsid w:val="00AA5C0F"/>
    <w:rsid w:val="00AA612A"/>
    <w:rsid w:val="00AA63AC"/>
    <w:rsid w:val="00AA759F"/>
    <w:rsid w:val="00AA7749"/>
    <w:rsid w:val="00AB08CB"/>
    <w:rsid w:val="00AB0A37"/>
    <w:rsid w:val="00AB0E37"/>
    <w:rsid w:val="00AB22A5"/>
    <w:rsid w:val="00AB2438"/>
    <w:rsid w:val="00AB2739"/>
    <w:rsid w:val="00AB4289"/>
    <w:rsid w:val="00AB46EA"/>
    <w:rsid w:val="00AB4D3F"/>
    <w:rsid w:val="00AB57BF"/>
    <w:rsid w:val="00AB6AE8"/>
    <w:rsid w:val="00AB72B0"/>
    <w:rsid w:val="00AB7801"/>
    <w:rsid w:val="00AC1B77"/>
    <w:rsid w:val="00AC2795"/>
    <w:rsid w:val="00AC30A8"/>
    <w:rsid w:val="00AC3A5E"/>
    <w:rsid w:val="00AC4948"/>
    <w:rsid w:val="00AC4A30"/>
    <w:rsid w:val="00AC4CA5"/>
    <w:rsid w:val="00AC4CAC"/>
    <w:rsid w:val="00AC54CC"/>
    <w:rsid w:val="00AC5A07"/>
    <w:rsid w:val="00AC5EAB"/>
    <w:rsid w:val="00AC65B1"/>
    <w:rsid w:val="00AC7C64"/>
    <w:rsid w:val="00AC7FA4"/>
    <w:rsid w:val="00AC7FE4"/>
    <w:rsid w:val="00AD18FF"/>
    <w:rsid w:val="00AD267B"/>
    <w:rsid w:val="00AD2EE8"/>
    <w:rsid w:val="00AD3393"/>
    <w:rsid w:val="00AD4AC9"/>
    <w:rsid w:val="00AD5ACE"/>
    <w:rsid w:val="00AD722B"/>
    <w:rsid w:val="00AD7C49"/>
    <w:rsid w:val="00AE241F"/>
    <w:rsid w:val="00AE2E20"/>
    <w:rsid w:val="00AE3773"/>
    <w:rsid w:val="00AE3FAA"/>
    <w:rsid w:val="00AE537D"/>
    <w:rsid w:val="00AE5CA2"/>
    <w:rsid w:val="00AE5DC3"/>
    <w:rsid w:val="00AE6D08"/>
    <w:rsid w:val="00AE7F83"/>
    <w:rsid w:val="00AF0638"/>
    <w:rsid w:val="00AF0ADC"/>
    <w:rsid w:val="00AF183C"/>
    <w:rsid w:val="00AF3702"/>
    <w:rsid w:val="00AF44BD"/>
    <w:rsid w:val="00AF57E8"/>
    <w:rsid w:val="00AF5C99"/>
    <w:rsid w:val="00AF68A2"/>
    <w:rsid w:val="00AF7AD3"/>
    <w:rsid w:val="00B003A1"/>
    <w:rsid w:val="00B0048F"/>
    <w:rsid w:val="00B0088E"/>
    <w:rsid w:val="00B0102F"/>
    <w:rsid w:val="00B016BB"/>
    <w:rsid w:val="00B019B9"/>
    <w:rsid w:val="00B039AE"/>
    <w:rsid w:val="00B04533"/>
    <w:rsid w:val="00B045A3"/>
    <w:rsid w:val="00B05165"/>
    <w:rsid w:val="00B0574C"/>
    <w:rsid w:val="00B1038A"/>
    <w:rsid w:val="00B114AE"/>
    <w:rsid w:val="00B117B5"/>
    <w:rsid w:val="00B1240C"/>
    <w:rsid w:val="00B131ED"/>
    <w:rsid w:val="00B1421C"/>
    <w:rsid w:val="00B15A27"/>
    <w:rsid w:val="00B15E24"/>
    <w:rsid w:val="00B17EB5"/>
    <w:rsid w:val="00B2065B"/>
    <w:rsid w:val="00B2139E"/>
    <w:rsid w:val="00B24B5B"/>
    <w:rsid w:val="00B25CA7"/>
    <w:rsid w:val="00B2615E"/>
    <w:rsid w:val="00B26BDC"/>
    <w:rsid w:val="00B27D2C"/>
    <w:rsid w:val="00B32B62"/>
    <w:rsid w:val="00B35D8A"/>
    <w:rsid w:val="00B37F9D"/>
    <w:rsid w:val="00B40961"/>
    <w:rsid w:val="00B412FA"/>
    <w:rsid w:val="00B44744"/>
    <w:rsid w:val="00B44D6C"/>
    <w:rsid w:val="00B45672"/>
    <w:rsid w:val="00B45972"/>
    <w:rsid w:val="00B45DFE"/>
    <w:rsid w:val="00B46752"/>
    <w:rsid w:val="00B46CDD"/>
    <w:rsid w:val="00B46D8A"/>
    <w:rsid w:val="00B476C8"/>
    <w:rsid w:val="00B51CF7"/>
    <w:rsid w:val="00B544A1"/>
    <w:rsid w:val="00B575FD"/>
    <w:rsid w:val="00B57A5E"/>
    <w:rsid w:val="00B57C4E"/>
    <w:rsid w:val="00B57EE5"/>
    <w:rsid w:val="00B611F3"/>
    <w:rsid w:val="00B61C4C"/>
    <w:rsid w:val="00B62C64"/>
    <w:rsid w:val="00B62D64"/>
    <w:rsid w:val="00B637DE"/>
    <w:rsid w:val="00B63A81"/>
    <w:rsid w:val="00B63C45"/>
    <w:rsid w:val="00B63FCB"/>
    <w:rsid w:val="00B64807"/>
    <w:rsid w:val="00B658AF"/>
    <w:rsid w:val="00B7041A"/>
    <w:rsid w:val="00B70B5F"/>
    <w:rsid w:val="00B70E54"/>
    <w:rsid w:val="00B70EED"/>
    <w:rsid w:val="00B72547"/>
    <w:rsid w:val="00B744CE"/>
    <w:rsid w:val="00B749C5"/>
    <w:rsid w:val="00B74E3A"/>
    <w:rsid w:val="00B75018"/>
    <w:rsid w:val="00B75061"/>
    <w:rsid w:val="00B756F1"/>
    <w:rsid w:val="00B767B1"/>
    <w:rsid w:val="00B80E87"/>
    <w:rsid w:val="00B8276E"/>
    <w:rsid w:val="00B82A7F"/>
    <w:rsid w:val="00B82D32"/>
    <w:rsid w:val="00B8301E"/>
    <w:rsid w:val="00B834E5"/>
    <w:rsid w:val="00B84BF6"/>
    <w:rsid w:val="00B85883"/>
    <w:rsid w:val="00B85DB8"/>
    <w:rsid w:val="00B91C94"/>
    <w:rsid w:val="00B934B2"/>
    <w:rsid w:val="00B93EA4"/>
    <w:rsid w:val="00B94203"/>
    <w:rsid w:val="00B94B90"/>
    <w:rsid w:val="00B94E66"/>
    <w:rsid w:val="00B94F8E"/>
    <w:rsid w:val="00B95336"/>
    <w:rsid w:val="00B954FD"/>
    <w:rsid w:val="00B979C7"/>
    <w:rsid w:val="00BA14DC"/>
    <w:rsid w:val="00BA1808"/>
    <w:rsid w:val="00BA1A55"/>
    <w:rsid w:val="00BA200A"/>
    <w:rsid w:val="00BA2A71"/>
    <w:rsid w:val="00BA3E9C"/>
    <w:rsid w:val="00BA3FE5"/>
    <w:rsid w:val="00BA4B38"/>
    <w:rsid w:val="00BA60B7"/>
    <w:rsid w:val="00BA6173"/>
    <w:rsid w:val="00BA6A00"/>
    <w:rsid w:val="00BB0645"/>
    <w:rsid w:val="00BB26D4"/>
    <w:rsid w:val="00BB2807"/>
    <w:rsid w:val="00BB2F64"/>
    <w:rsid w:val="00BB30F1"/>
    <w:rsid w:val="00BB37E7"/>
    <w:rsid w:val="00BB5A4F"/>
    <w:rsid w:val="00BB5E93"/>
    <w:rsid w:val="00BB5F14"/>
    <w:rsid w:val="00BB6609"/>
    <w:rsid w:val="00BB7651"/>
    <w:rsid w:val="00BB76E3"/>
    <w:rsid w:val="00BC053E"/>
    <w:rsid w:val="00BC0A36"/>
    <w:rsid w:val="00BC25D7"/>
    <w:rsid w:val="00BC32AA"/>
    <w:rsid w:val="00BC388A"/>
    <w:rsid w:val="00BC3EC3"/>
    <w:rsid w:val="00BC4B95"/>
    <w:rsid w:val="00BC5793"/>
    <w:rsid w:val="00BC772B"/>
    <w:rsid w:val="00BC7A70"/>
    <w:rsid w:val="00BD0614"/>
    <w:rsid w:val="00BD0684"/>
    <w:rsid w:val="00BD1C8F"/>
    <w:rsid w:val="00BD316B"/>
    <w:rsid w:val="00BD5031"/>
    <w:rsid w:val="00BD50B0"/>
    <w:rsid w:val="00BD5698"/>
    <w:rsid w:val="00BD58EA"/>
    <w:rsid w:val="00BD6253"/>
    <w:rsid w:val="00BD67A7"/>
    <w:rsid w:val="00BE0DD2"/>
    <w:rsid w:val="00BE2CDF"/>
    <w:rsid w:val="00BE3520"/>
    <w:rsid w:val="00BE35D7"/>
    <w:rsid w:val="00BE3C65"/>
    <w:rsid w:val="00BE4013"/>
    <w:rsid w:val="00BE46A1"/>
    <w:rsid w:val="00BE4FEF"/>
    <w:rsid w:val="00BE59C7"/>
    <w:rsid w:val="00BE5C9A"/>
    <w:rsid w:val="00BF1ACD"/>
    <w:rsid w:val="00BF273B"/>
    <w:rsid w:val="00BF3DB8"/>
    <w:rsid w:val="00BF4DE9"/>
    <w:rsid w:val="00BF5387"/>
    <w:rsid w:val="00BF5698"/>
    <w:rsid w:val="00BF5D22"/>
    <w:rsid w:val="00BF5E59"/>
    <w:rsid w:val="00BF687E"/>
    <w:rsid w:val="00BF7012"/>
    <w:rsid w:val="00BF7BBC"/>
    <w:rsid w:val="00C0063E"/>
    <w:rsid w:val="00C014B2"/>
    <w:rsid w:val="00C0180B"/>
    <w:rsid w:val="00C0192B"/>
    <w:rsid w:val="00C01C59"/>
    <w:rsid w:val="00C021AB"/>
    <w:rsid w:val="00C02294"/>
    <w:rsid w:val="00C027ED"/>
    <w:rsid w:val="00C02D61"/>
    <w:rsid w:val="00C03775"/>
    <w:rsid w:val="00C04B4B"/>
    <w:rsid w:val="00C05178"/>
    <w:rsid w:val="00C058E1"/>
    <w:rsid w:val="00C0624A"/>
    <w:rsid w:val="00C063D4"/>
    <w:rsid w:val="00C07176"/>
    <w:rsid w:val="00C1018C"/>
    <w:rsid w:val="00C10B9E"/>
    <w:rsid w:val="00C153CD"/>
    <w:rsid w:val="00C16B7B"/>
    <w:rsid w:val="00C17B6D"/>
    <w:rsid w:val="00C21421"/>
    <w:rsid w:val="00C21AB0"/>
    <w:rsid w:val="00C21B4D"/>
    <w:rsid w:val="00C21F69"/>
    <w:rsid w:val="00C2371E"/>
    <w:rsid w:val="00C24539"/>
    <w:rsid w:val="00C25590"/>
    <w:rsid w:val="00C2559E"/>
    <w:rsid w:val="00C25614"/>
    <w:rsid w:val="00C26012"/>
    <w:rsid w:val="00C262CB"/>
    <w:rsid w:val="00C265A4"/>
    <w:rsid w:val="00C2678F"/>
    <w:rsid w:val="00C2758C"/>
    <w:rsid w:val="00C303E4"/>
    <w:rsid w:val="00C332D9"/>
    <w:rsid w:val="00C3338A"/>
    <w:rsid w:val="00C3399A"/>
    <w:rsid w:val="00C41295"/>
    <w:rsid w:val="00C4180C"/>
    <w:rsid w:val="00C4191E"/>
    <w:rsid w:val="00C4249D"/>
    <w:rsid w:val="00C42968"/>
    <w:rsid w:val="00C42ACF"/>
    <w:rsid w:val="00C4373B"/>
    <w:rsid w:val="00C44E2C"/>
    <w:rsid w:val="00C44F9A"/>
    <w:rsid w:val="00C46479"/>
    <w:rsid w:val="00C46973"/>
    <w:rsid w:val="00C46B18"/>
    <w:rsid w:val="00C47BCC"/>
    <w:rsid w:val="00C5091C"/>
    <w:rsid w:val="00C50FE9"/>
    <w:rsid w:val="00C518A2"/>
    <w:rsid w:val="00C52E7E"/>
    <w:rsid w:val="00C55531"/>
    <w:rsid w:val="00C56445"/>
    <w:rsid w:val="00C57B4E"/>
    <w:rsid w:val="00C57EC7"/>
    <w:rsid w:val="00C57ED0"/>
    <w:rsid w:val="00C600C7"/>
    <w:rsid w:val="00C60893"/>
    <w:rsid w:val="00C60B50"/>
    <w:rsid w:val="00C623DC"/>
    <w:rsid w:val="00C63B00"/>
    <w:rsid w:val="00C63CC6"/>
    <w:rsid w:val="00C63D4E"/>
    <w:rsid w:val="00C63E5C"/>
    <w:rsid w:val="00C64CF8"/>
    <w:rsid w:val="00C6608C"/>
    <w:rsid w:val="00C66AEB"/>
    <w:rsid w:val="00C70141"/>
    <w:rsid w:val="00C72AB9"/>
    <w:rsid w:val="00C72DDC"/>
    <w:rsid w:val="00C744A1"/>
    <w:rsid w:val="00C74846"/>
    <w:rsid w:val="00C74B3E"/>
    <w:rsid w:val="00C7534B"/>
    <w:rsid w:val="00C75FA5"/>
    <w:rsid w:val="00C774CE"/>
    <w:rsid w:val="00C81966"/>
    <w:rsid w:val="00C834CC"/>
    <w:rsid w:val="00C84497"/>
    <w:rsid w:val="00C84736"/>
    <w:rsid w:val="00C8577A"/>
    <w:rsid w:val="00C8617E"/>
    <w:rsid w:val="00C86671"/>
    <w:rsid w:val="00C92B3A"/>
    <w:rsid w:val="00C92B48"/>
    <w:rsid w:val="00C94A13"/>
    <w:rsid w:val="00C94E6B"/>
    <w:rsid w:val="00C95C96"/>
    <w:rsid w:val="00C9696E"/>
    <w:rsid w:val="00C96D88"/>
    <w:rsid w:val="00C97BAD"/>
    <w:rsid w:val="00CA135A"/>
    <w:rsid w:val="00CA18E5"/>
    <w:rsid w:val="00CA2EAC"/>
    <w:rsid w:val="00CA4254"/>
    <w:rsid w:val="00CA46C0"/>
    <w:rsid w:val="00CA5BA2"/>
    <w:rsid w:val="00CA6A63"/>
    <w:rsid w:val="00CA72FD"/>
    <w:rsid w:val="00CB09C4"/>
    <w:rsid w:val="00CB2A65"/>
    <w:rsid w:val="00CB376D"/>
    <w:rsid w:val="00CB3963"/>
    <w:rsid w:val="00CB4BBB"/>
    <w:rsid w:val="00CB58C4"/>
    <w:rsid w:val="00CB7086"/>
    <w:rsid w:val="00CB7291"/>
    <w:rsid w:val="00CC06D0"/>
    <w:rsid w:val="00CC2FBD"/>
    <w:rsid w:val="00CC34DE"/>
    <w:rsid w:val="00CC588F"/>
    <w:rsid w:val="00CC595F"/>
    <w:rsid w:val="00CC65E9"/>
    <w:rsid w:val="00CC669A"/>
    <w:rsid w:val="00CC7745"/>
    <w:rsid w:val="00CC7FEC"/>
    <w:rsid w:val="00CD0646"/>
    <w:rsid w:val="00CD16FD"/>
    <w:rsid w:val="00CD198A"/>
    <w:rsid w:val="00CD3B73"/>
    <w:rsid w:val="00CD566E"/>
    <w:rsid w:val="00CD5A9F"/>
    <w:rsid w:val="00CD5D9D"/>
    <w:rsid w:val="00CD5DAA"/>
    <w:rsid w:val="00CD6AB9"/>
    <w:rsid w:val="00CD6EC5"/>
    <w:rsid w:val="00CD76DB"/>
    <w:rsid w:val="00CD7D11"/>
    <w:rsid w:val="00CE0835"/>
    <w:rsid w:val="00CE268A"/>
    <w:rsid w:val="00CE389A"/>
    <w:rsid w:val="00CE4822"/>
    <w:rsid w:val="00CE4A1C"/>
    <w:rsid w:val="00CE4EA1"/>
    <w:rsid w:val="00CE5A4E"/>
    <w:rsid w:val="00CE7DC2"/>
    <w:rsid w:val="00CF097A"/>
    <w:rsid w:val="00CF0E86"/>
    <w:rsid w:val="00CF0EAF"/>
    <w:rsid w:val="00CF2756"/>
    <w:rsid w:val="00CF2880"/>
    <w:rsid w:val="00CF435F"/>
    <w:rsid w:val="00CF6B4C"/>
    <w:rsid w:val="00CF6E71"/>
    <w:rsid w:val="00CF7617"/>
    <w:rsid w:val="00D01154"/>
    <w:rsid w:val="00D017D2"/>
    <w:rsid w:val="00D01AAE"/>
    <w:rsid w:val="00D04CB9"/>
    <w:rsid w:val="00D06205"/>
    <w:rsid w:val="00D076FB"/>
    <w:rsid w:val="00D07D40"/>
    <w:rsid w:val="00D1178F"/>
    <w:rsid w:val="00D1260F"/>
    <w:rsid w:val="00D128C0"/>
    <w:rsid w:val="00D1334A"/>
    <w:rsid w:val="00D13978"/>
    <w:rsid w:val="00D13AA8"/>
    <w:rsid w:val="00D14CB4"/>
    <w:rsid w:val="00D1514B"/>
    <w:rsid w:val="00D17AAC"/>
    <w:rsid w:val="00D17CE5"/>
    <w:rsid w:val="00D2089C"/>
    <w:rsid w:val="00D21333"/>
    <w:rsid w:val="00D21469"/>
    <w:rsid w:val="00D21EB4"/>
    <w:rsid w:val="00D233B0"/>
    <w:rsid w:val="00D2371A"/>
    <w:rsid w:val="00D302A6"/>
    <w:rsid w:val="00D3084D"/>
    <w:rsid w:val="00D32479"/>
    <w:rsid w:val="00D328F6"/>
    <w:rsid w:val="00D33126"/>
    <w:rsid w:val="00D331E6"/>
    <w:rsid w:val="00D3398F"/>
    <w:rsid w:val="00D348A9"/>
    <w:rsid w:val="00D34CE4"/>
    <w:rsid w:val="00D35992"/>
    <w:rsid w:val="00D362D7"/>
    <w:rsid w:val="00D36C02"/>
    <w:rsid w:val="00D37322"/>
    <w:rsid w:val="00D374D7"/>
    <w:rsid w:val="00D4195B"/>
    <w:rsid w:val="00D41C31"/>
    <w:rsid w:val="00D434DD"/>
    <w:rsid w:val="00D43B1E"/>
    <w:rsid w:val="00D446EE"/>
    <w:rsid w:val="00D447D4"/>
    <w:rsid w:val="00D45640"/>
    <w:rsid w:val="00D457FE"/>
    <w:rsid w:val="00D45ED8"/>
    <w:rsid w:val="00D46719"/>
    <w:rsid w:val="00D46D21"/>
    <w:rsid w:val="00D472F6"/>
    <w:rsid w:val="00D50AB9"/>
    <w:rsid w:val="00D50DA0"/>
    <w:rsid w:val="00D51412"/>
    <w:rsid w:val="00D515C9"/>
    <w:rsid w:val="00D519BC"/>
    <w:rsid w:val="00D52A0B"/>
    <w:rsid w:val="00D54B2B"/>
    <w:rsid w:val="00D54C82"/>
    <w:rsid w:val="00D552B5"/>
    <w:rsid w:val="00D5728D"/>
    <w:rsid w:val="00D5777A"/>
    <w:rsid w:val="00D577E6"/>
    <w:rsid w:val="00D60C45"/>
    <w:rsid w:val="00D61065"/>
    <w:rsid w:val="00D6168B"/>
    <w:rsid w:val="00D64837"/>
    <w:rsid w:val="00D64BEF"/>
    <w:rsid w:val="00D64C47"/>
    <w:rsid w:val="00D6504E"/>
    <w:rsid w:val="00D65309"/>
    <w:rsid w:val="00D662A8"/>
    <w:rsid w:val="00D6675A"/>
    <w:rsid w:val="00D66EC9"/>
    <w:rsid w:val="00D66FCE"/>
    <w:rsid w:val="00D70443"/>
    <w:rsid w:val="00D709AD"/>
    <w:rsid w:val="00D718CA"/>
    <w:rsid w:val="00D71917"/>
    <w:rsid w:val="00D7239A"/>
    <w:rsid w:val="00D73AD1"/>
    <w:rsid w:val="00D73ADA"/>
    <w:rsid w:val="00D74891"/>
    <w:rsid w:val="00D7493B"/>
    <w:rsid w:val="00D769DC"/>
    <w:rsid w:val="00D77856"/>
    <w:rsid w:val="00D77E4F"/>
    <w:rsid w:val="00D80E1C"/>
    <w:rsid w:val="00D81279"/>
    <w:rsid w:val="00D819D9"/>
    <w:rsid w:val="00D830F3"/>
    <w:rsid w:val="00D8484C"/>
    <w:rsid w:val="00D84FFA"/>
    <w:rsid w:val="00D912C8"/>
    <w:rsid w:val="00D93614"/>
    <w:rsid w:val="00D93A39"/>
    <w:rsid w:val="00D956DF"/>
    <w:rsid w:val="00D96035"/>
    <w:rsid w:val="00D961A0"/>
    <w:rsid w:val="00D97D38"/>
    <w:rsid w:val="00DA0391"/>
    <w:rsid w:val="00DA3138"/>
    <w:rsid w:val="00DA3F8B"/>
    <w:rsid w:val="00DA4251"/>
    <w:rsid w:val="00DA6034"/>
    <w:rsid w:val="00DA7008"/>
    <w:rsid w:val="00DA75FA"/>
    <w:rsid w:val="00DA7ED7"/>
    <w:rsid w:val="00DB0C2E"/>
    <w:rsid w:val="00DB1D98"/>
    <w:rsid w:val="00DB59A5"/>
    <w:rsid w:val="00DB614B"/>
    <w:rsid w:val="00DB640C"/>
    <w:rsid w:val="00DB65BC"/>
    <w:rsid w:val="00DB697A"/>
    <w:rsid w:val="00DB6E2B"/>
    <w:rsid w:val="00DB7316"/>
    <w:rsid w:val="00DB7370"/>
    <w:rsid w:val="00DC0A57"/>
    <w:rsid w:val="00DC158F"/>
    <w:rsid w:val="00DC15D8"/>
    <w:rsid w:val="00DC2EF4"/>
    <w:rsid w:val="00DC4A3F"/>
    <w:rsid w:val="00DC50CA"/>
    <w:rsid w:val="00DC50E2"/>
    <w:rsid w:val="00DC5A77"/>
    <w:rsid w:val="00DC5CEE"/>
    <w:rsid w:val="00DC67B3"/>
    <w:rsid w:val="00DD0A47"/>
    <w:rsid w:val="00DD20EA"/>
    <w:rsid w:val="00DD2352"/>
    <w:rsid w:val="00DD26F0"/>
    <w:rsid w:val="00DD2DBE"/>
    <w:rsid w:val="00DD2FDD"/>
    <w:rsid w:val="00DD38A9"/>
    <w:rsid w:val="00DD3B05"/>
    <w:rsid w:val="00DD3EE7"/>
    <w:rsid w:val="00DD4DC9"/>
    <w:rsid w:val="00DD5BCB"/>
    <w:rsid w:val="00DD7421"/>
    <w:rsid w:val="00DD7C60"/>
    <w:rsid w:val="00DD7DAA"/>
    <w:rsid w:val="00DE1C05"/>
    <w:rsid w:val="00DE211C"/>
    <w:rsid w:val="00DE2443"/>
    <w:rsid w:val="00DE3458"/>
    <w:rsid w:val="00DE4334"/>
    <w:rsid w:val="00DE5435"/>
    <w:rsid w:val="00DE5CA7"/>
    <w:rsid w:val="00DE6139"/>
    <w:rsid w:val="00DE64CF"/>
    <w:rsid w:val="00DE72B0"/>
    <w:rsid w:val="00DE72D4"/>
    <w:rsid w:val="00DE76AE"/>
    <w:rsid w:val="00DE7C95"/>
    <w:rsid w:val="00DF2517"/>
    <w:rsid w:val="00DF2B17"/>
    <w:rsid w:val="00DF2F63"/>
    <w:rsid w:val="00DF554B"/>
    <w:rsid w:val="00DF6CBD"/>
    <w:rsid w:val="00DF76E9"/>
    <w:rsid w:val="00DF7EEF"/>
    <w:rsid w:val="00DF7F29"/>
    <w:rsid w:val="00E01193"/>
    <w:rsid w:val="00E02386"/>
    <w:rsid w:val="00E029AE"/>
    <w:rsid w:val="00E0305D"/>
    <w:rsid w:val="00E03305"/>
    <w:rsid w:val="00E0353F"/>
    <w:rsid w:val="00E0357B"/>
    <w:rsid w:val="00E04154"/>
    <w:rsid w:val="00E062D0"/>
    <w:rsid w:val="00E06F11"/>
    <w:rsid w:val="00E111DD"/>
    <w:rsid w:val="00E11277"/>
    <w:rsid w:val="00E11AC2"/>
    <w:rsid w:val="00E11B45"/>
    <w:rsid w:val="00E11BFD"/>
    <w:rsid w:val="00E124AE"/>
    <w:rsid w:val="00E140EF"/>
    <w:rsid w:val="00E1538F"/>
    <w:rsid w:val="00E162B9"/>
    <w:rsid w:val="00E179A3"/>
    <w:rsid w:val="00E22A6A"/>
    <w:rsid w:val="00E23E7A"/>
    <w:rsid w:val="00E24E3D"/>
    <w:rsid w:val="00E2536D"/>
    <w:rsid w:val="00E25B83"/>
    <w:rsid w:val="00E25DBC"/>
    <w:rsid w:val="00E25E95"/>
    <w:rsid w:val="00E307E7"/>
    <w:rsid w:val="00E313AF"/>
    <w:rsid w:val="00E321C2"/>
    <w:rsid w:val="00E3344C"/>
    <w:rsid w:val="00E3497F"/>
    <w:rsid w:val="00E34B85"/>
    <w:rsid w:val="00E3689C"/>
    <w:rsid w:val="00E37E6F"/>
    <w:rsid w:val="00E411E5"/>
    <w:rsid w:val="00E42F41"/>
    <w:rsid w:val="00E43D74"/>
    <w:rsid w:val="00E43E90"/>
    <w:rsid w:val="00E4446B"/>
    <w:rsid w:val="00E447B6"/>
    <w:rsid w:val="00E45409"/>
    <w:rsid w:val="00E45D61"/>
    <w:rsid w:val="00E45E85"/>
    <w:rsid w:val="00E466B0"/>
    <w:rsid w:val="00E4791C"/>
    <w:rsid w:val="00E47F96"/>
    <w:rsid w:val="00E5101D"/>
    <w:rsid w:val="00E52BC8"/>
    <w:rsid w:val="00E52D35"/>
    <w:rsid w:val="00E5330A"/>
    <w:rsid w:val="00E54D56"/>
    <w:rsid w:val="00E54F99"/>
    <w:rsid w:val="00E55E9D"/>
    <w:rsid w:val="00E60A5B"/>
    <w:rsid w:val="00E62ED0"/>
    <w:rsid w:val="00E62EFC"/>
    <w:rsid w:val="00E63351"/>
    <w:rsid w:val="00E6348F"/>
    <w:rsid w:val="00E63BF4"/>
    <w:rsid w:val="00E6499A"/>
    <w:rsid w:val="00E64A88"/>
    <w:rsid w:val="00E64F00"/>
    <w:rsid w:val="00E657E8"/>
    <w:rsid w:val="00E66228"/>
    <w:rsid w:val="00E66A8A"/>
    <w:rsid w:val="00E66B0C"/>
    <w:rsid w:val="00E702DE"/>
    <w:rsid w:val="00E7085E"/>
    <w:rsid w:val="00E708F5"/>
    <w:rsid w:val="00E7093E"/>
    <w:rsid w:val="00E7344C"/>
    <w:rsid w:val="00E74737"/>
    <w:rsid w:val="00E74C77"/>
    <w:rsid w:val="00E74FB4"/>
    <w:rsid w:val="00E752A6"/>
    <w:rsid w:val="00E75632"/>
    <w:rsid w:val="00E758DE"/>
    <w:rsid w:val="00E76B3E"/>
    <w:rsid w:val="00E776AF"/>
    <w:rsid w:val="00E77785"/>
    <w:rsid w:val="00E8168A"/>
    <w:rsid w:val="00E82DA2"/>
    <w:rsid w:val="00E840A6"/>
    <w:rsid w:val="00E856EB"/>
    <w:rsid w:val="00E85B74"/>
    <w:rsid w:val="00E86450"/>
    <w:rsid w:val="00E867E4"/>
    <w:rsid w:val="00E86BE9"/>
    <w:rsid w:val="00E87213"/>
    <w:rsid w:val="00E87F38"/>
    <w:rsid w:val="00E90C36"/>
    <w:rsid w:val="00E90F36"/>
    <w:rsid w:val="00E923F1"/>
    <w:rsid w:val="00E93008"/>
    <w:rsid w:val="00E94060"/>
    <w:rsid w:val="00E95E04"/>
    <w:rsid w:val="00E960FE"/>
    <w:rsid w:val="00E96695"/>
    <w:rsid w:val="00E974D5"/>
    <w:rsid w:val="00E97E8C"/>
    <w:rsid w:val="00EA0159"/>
    <w:rsid w:val="00EA05D4"/>
    <w:rsid w:val="00EA0CF3"/>
    <w:rsid w:val="00EA144B"/>
    <w:rsid w:val="00EA16DE"/>
    <w:rsid w:val="00EA1C2F"/>
    <w:rsid w:val="00EA428A"/>
    <w:rsid w:val="00EA460E"/>
    <w:rsid w:val="00EA58E4"/>
    <w:rsid w:val="00EA624D"/>
    <w:rsid w:val="00EB0A91"/>
    <w:rsid w:val="00EB0E06"/>
    <w:rsid w:val="00EB107F"/>
    <w:rsid w:val="00EB239D"/>
    <w:rsid w:val="00EB42FA"/>
    <w:rsid w:val="00EB4439"/>
    <w:rsid w:val="00EB57A4"/>
    <w:rsid w:val="00EB631F"/>
    <w:rsid w:val="00EB7C8F"/>
    <w:rsid w:val="00EC1826"/>
    <w:rsid w:val="00EC1A6A"/>
    <w:rsid w:val="00EC1CD6"/>
    <w:rsid w:val="00EC235F"/>
    <w:rsid w:val="00EC2603"/>
    <w:rsid w:val="00EC30E4"/>
    <w:rsid w:val="00EC3582"/>
    <w:rsid w:val="00EC4A09"/>
    <w:rsid w:val="00EC4C5B"/>
    <w:rsid w:val="00EC4CB8"/>
    <w:rsid w:val="00EC4FCB"/>
    <w:rsid w:val="00EC552D"/>
    <w:rsid w:val="00EC6B25"/>
    <w:rsid w:val="00EC7AB4"/>
    <w:rsid w:val="00ED0CB6"/>
    <w:rsid w:val="00ED1F0D"/>
    <w:rsid w:val="00ED3914"/>
    <w:rsid w:val="00ED3D54"/>
    <w:rsid w:val="00ED4524"/>
    <w:rsid w:val="00ED4AE8"/>
    <w:rsid w:val="00ED5C49"/>
    <w:rsid w:val="00ED6723"/>
    <w:rsid w:val="00ED7B19"/>
    <w:rsid w:val="00EE1A6A"/>
    <w:rsid w:val="00EE1D87"/>
    <w:rsid w:val="00EE7AFE"/>
    <w:rsid w:val="00EE7B89"/>
    <w:rsid w:val="00EF1768"/>
    <w:rsid w:val="00EF1C21"/>
    <w:rsid w:val="00EF1E46"/>
    <w:rsid w:val="00EF7ABA"/>
    <w:rsid w:val="00F007CA"/>
    <w:rsid w:val="00F01756"/>
    <w:rsid w:val="00F02065"/>
    <w:rsid w:val="00F02E03"/>
    <w:rsid w:val="00F03BF5"/>
    <w:rsid w:val="00F06B4B"/>
    <w:rsid w:val="00F06BD7"/>
    <w:rsid w:val="00F06C75"/>
    <w:rsid w:val="00F06FA3"/>
    <w:rsid w:val="00F0706E"/>
    <w:rsid w:val="00F07493"/>
    <w:rsid w:val="00F075A6"/>
    <w:rsid w:val="00F115B8"/>
    <w:rsid w:val="00F12954"/>
    <w:rsid w:val="00F12C03"/>
    <w:rsid w:val="00F1357A"/>
    <w:rsid w:val="00F1508C"/>
    <w:rsid w:val="00F1531E"/>
    <w:rsid w:val="00F157EA"/>
    <w:rsid w:val="00F16243"/>
    <w:rsid w:val="00F164E6"/>
    <w:rsid w:val="00F20199"/>
    <w:rsid w:val="00F22048"/>
    <w:rsid w:val="00F22A27"/>
    <w:rsid w:val="00F23297"/>
    <w:rsid w:val="00F24B35"/>
    <w:rsid w:val="00F24E35"/>
    <w:rsid w:val="00F27CCC"/>
    <w:rsid w:val="00F30358"/>
    <w:rsid w:val="00F30896"/>
    <w:rsid w:val="00F30969"/>
    <w:rsid w:val="00F32262"/>
    <w:rsid w:val="00F324A0"/>
    <w:rsid w:val="00F32913"/>
    <w:rsid w:val="00F33A65"/>
    <w:rsid w:val="00F360E4"/>
    <w:rsid w:val="00F36A65"/>
    <w:rsid w:val="00F370DB"/>
    <w:rsid w:val="00F37685"/>
    <w:rsid w:val="00F40D5B"/>
    <w:rsid w:val="00F41B26"/>
    <w:rsid w:val="00F42F65"/>
    <w:rsid w:val="00F434A1"/>
    <w:rsid w:val="00F4472A"/>
    <w:rsid w:val="00F44A8C"/>
    <w:rsid w:val="00F45A51"/>
    <w:rsid w:val="00F45CAE"/>
    <w:rsid w:val="00F45E4A"/>
    <w:rsid w:val="00F47848"/>
    <w:rsid w:val="00F4784F"/>
    <w:rsid w:val="00F500D7"/>
    <w:rsid w:val="00F50872"/>
    <w:rsid w:val="00F51534"/>
    <w:rsid w:val="00F52ACC"/>
    <w:rsid w:val="00F52B8F"/>
    <w:rsid w:val="00F530C4"/>
    <w:rsid w:val="00F53288"/>
    <w:rsid w:val="00F549C8"/>
    <w:rsid w:val="00F5633C"/>
    <w:rsid w:val="00F57882"/>
    <w:rsid w:val="00F57BCA"/>
    <w:rsid w:val="00F57E2E"/>
    <w:rsid w:val="00F60BA3"/>
    <w:rsid w:val="00F610EF"/>
    <w:rsid w:val="00F615D4"/>
    <w:rsid w:val="00F61812"/>
    <w:rsid w:val="00F6248E"/>
    <w:rsid w:val="00F643C3"/>
    <w:rsid w:val="00F64754"/>
    <w:rsid w:val="00F66AFB"/>
    <w:rsid w:val="00F66DE9"/>
    <w:rsid w:val="00F704F1"/>
    <w:rsid w:val="00F7056E"/>
    <w:rsid w:val="00F7107B"/>
    <w:rsid w:val="00F7113C"/>
    <w:rsid w:val="00F72CB2"/>
    <w:rsid w:val="00F73BAC"/>
    <w:rsid w:val="00F759B1"/>
    <w:rsid w:val="00F75A57"/>
    <w:rsid w:val="00F76A49"/>
    <w:rsid w:val="00F7777A"/>
    <w:rsid w:val="00F802E6"/>
    <w:rsid w:val="00F80BFF"/>
    <w:rsid w:val="00F81933"/>
    <w:rsid w:val="00F829D2"/>
    <w:rsid w:val="00F82E25"/>
    <w:rsid w:val="00F83DFB"/>
    <w:rsid w:val="00F84C96"/>
    <w:rsid w:val="00F85A5A"/>
    <w:rsid w:val="00F87532"/>
    <w:rsid w:val="00F902D2"/>
    <w:rsid w:val="00F91905"/>
    <w:rsid w:val="00F9334B"/>
    <w:rsid w:val="00F934CF"/>
    <w:rsid w:val="00F9438E"/>
    <w:rsid w:val="00F94599"/>
    <w:rsid w:val="00F945C3"/>
    <w:rsid w:val="00F94DDF"/>
    <w:rsid w:val="00F9568D"/>
    <w:rsid w:val="00F96160"/>
    <w:rsid w:val="00F96860"/>
    <w:rsid w:val="00F96D2E"/>
    <w:rsid w:val="00F9737D"/>
    <w:rsid w:val="00FA02BF"/>
    <w:rsid w:val="00FA1539"/>
    <w:rsid w:val="00FA1F40"/>
    <w:rsid w:val="00FA3352"/>
    <w:rsid w:val="00FA5B1C"/>
    <w:rsid w:val="00FA653B"/>
    <w:rsid w:val="00FA67EE"/>
    <w:rsid w:val="00FB0984"/>
    <w:rsid w:val="00FB1818"/>
    <w:rsid w:val="00FB19E0"/>
    <w:rsid w:val="00FB2C96"/>
    <w:rsid w:val="00FB3000"/>
    <w:rsid w:val="00FB3B01"/>
    <w:rsid w:val="00FB61B2"/>
    <w:rsid w:val="00FB7E1E"/>
    <w:rsid w:val="00FC1299"/>
    <w:rsid w:val="00FC1F6E"/>
    <w:rsid w:val="00FC23C5"/>
    <w:rsid w:val="00FC251F"/>
    <w:rsid w:val="00FC290E"/>
    <w:rsid w:val="00FC3604"/>
    <w:rsid w:val="00FC3A3C"/>
    <w:rsid w:val="00FC429D"/>
    <w:rsid w:val="00FC47F3"/>
    <w:rsid w:val="00FC558F"/>
    <w:rsid w:val="00FC577E"/>
    <w:rsid w:val="00FC58DE"/>
    <w:rsid w:val="00FC6CD4"/>
    <w:rsid w:val="00FC790F"/>
    <w:rsid w:val="00FD1606"/>
    <w:rsid w:val="00FD17AB"/>
    <w:rsid w:val="00FD180B"/>
    <w:rsid w:val="00FD1E2E"/>
    <w:rsid w:val="00FD1F0A"/>
    <w:rsid w:val="00FD20D3"/>
    <w:rsid w:val="00FD2409"/>
    <w:rsid w:val="00FD3AD1"/>
    <w:rsid w:val="00FD5A2E"/>
    <w:rsid w:val="00FD697C"/>
    <w:rsid w:val="00FD76B3"/>
    <w:rsid w:val="00FE0870"/>
    <w:rsid w:val="00FE10FF"/>
    <w:rsid w:val="00FE1635"/>
    <w:rsid w:val="00FE3449"/>
    <w:rsid w:val="00FE47A0"/>
    <w:rsid w:val="00FE5657"/>
    <w:rsid w:val="00FE5E80"/>
    <w:rsid w:val="00FE681D"/>
    <w:rsid w:val="00FF01C7"/>
    <w:rsid w:val="00FF05E7"/>
    <w:rsid w:val="00FF0C33"/>
    <w:rsid w:val="00FF1350"/>
    <w:rsid w:val="00FF2C37"/>
    <w:rsid w:val="00FF330A"/>
    <w:rsid w:val="00FF5D18"/>
    <w:rsid w:val="00FF6BA9"/>
    <w:rsid w:val="00FF76FD"/>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BBFB"/>
  <w15:chartTrackingRefBased/>
  <w15:docId w15:val="{E910350F-E655-49EF-80BB-0783604D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193"/>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01683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E4A1C"/>
    <w:pPr>
      <w:ind w:left="720"/>
      <w:contextualSpacing/>
    </w:pPr>
  </w:style>
  <w:style w:type="paragraph" w:styleId="Footer">
    <w:name w:val="footer"/>
    <w:basedOn w:val="Normal"/>
    <w:link w:val="FooterChar"/>
    <w:uiPriority w:val="99"/>
    <w:unhideWhenUsed/>
    <w:rsid w:val="00AC5EAB"/>
    <w:pPr>
      <w:tabs>
        <w:tab w:val="center" w:pos="4680"/>
        <w:tab w:val="right" w:pos="9360"/>
      </w:tabs>
    </w:pPr>
    <w:rPr>
      <w:szCs w:val="24"/>
    </w:rPr>
  </w:style>
  <w:style w:type="character" w:customStyle="1" w:styleId="FooterChar">
    <w:name w:val="Footer Char"/>
    <w:basedOn w:val="DefaultParagraphFont"/>
    <w:link w:val="Footer"/>
    <w:uiPriority w:val="99"/>
    <w:rsid w:val="00AC5EA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5DBC"/>
    <w:rPr>
      <w:color w:val="0563C1" w:themeColor="hyperlink"/>
      <w:u w:val="single"/>
    </w:rPr>
  </w:style>
  <w:style w:type="paragraph" w:styleId="FootnoteText">
    <w:name w:val="footnote text"/>
    <w:basedOn w:val="Normal"/>
    <w:link w:val="FootnoteTextChar"/>
    <w:uiPriority w:val="99"/>
    <w:unhideWhenUsed/>
    <w:rsid w:val="00E25DBC"/>
    <w:rPr>
      <w:sz w:val="20"/>
    </w:rPr>
  </w:style>
  <w:style w:type="character" w:customStyle="1" w:styleId="FootnoteTextChar">
    <w:name w:val="Footnote Text Char"/>
    <w:basedOn w:val="DefaultParagraphFont"/>
    <w:link w:val="FootnoteText"/>
    <w:uiPriority w:val="99"/>
    <w:rsid w:val="00E25D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25DBC"/>
    <w:rPr>
      <w:vertAlign w:val="superscript"/>
    </w:rPr>
  </w:style>
  <w:style w:type="paragraph" w:styleId="Header">
    <w:name w:val="header"/>
    <w:basedOn w:val="Normal"/>
    <w:link w:val="HeaderChar"/>
    <w:uiPriority w:val="99"/>
    <w:unhideWhenUsed/>
    <w:rsid w:val="00445704"/>
    <w:pPr>
      <w:tabs>
        <w:tab w:val="center" w:pos="4680"/>
        <w:tab w:val="right" w:pos="9360"/>
      </w:tabs>
    </w:pPr>
  </w:style>
  <w:style w:type="character" w:customStyle="1" w:styleId="HeaderChar">
    <w:name w:val="Header Char"/>
    <w:basedOn w:val="DefaultParagraphFont"/>
    <w:link w:val="Header"/>
    <w:uiPriority w:val="99"/>
    <w:rsid w:val="0044570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41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870"/>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F12954"/>
    <w:rPr>
      <w:sz w:val="20"/>
    </w:rPr>
  </w:style>
  <w:style w:type="character" w:customStyle="1" w:styleId="CommentTextChar">
    <w:name w:val="Comment Text Char"/>
    <w:basedOn w:val="DefaultParagraphFont"/>
    <w:link w:val="CommentText"/>
    <w:uiPriority w:val="99"/>
    <w:semiHidden/>
    <w:rsid w:val="00F1295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12954"/>
    <w:rPr>
      <w:sz w:val="18"/>
      <w:szCs w:val="18"/>
    </w:rPr>
  </w:style>
  <w:style w:type="character" w:styleId="UnresolvedMention">
    <w:name w:val="Unresolved Mention"/>
    <w:basedOn w:val="DefaultParagraphFont"/>
    <w:uiPriority w:val="99"/>
    <w:semiHidden/>
    <w:unhideWhenUsed/>
    <w:rsid w:val="00F12954"/>
    <w:rPr>
      <w:color w:val="605E5C"/>
      <w:shd w:val="clear" w:color="auto" w:fill="E1DFDD"/>
    </w:rPr>
  </w:style>
  <w:style w:type="character" w:customStyle="1" w:styleId="Heading3Char">
    <w:name w:val="Heading 3 Char"/>
    <w:basedOn w:val="DefaultParagraphFont"/>
    <w:link w:val="Heading3"/>
    <w:uiPriority w:val="9"/>
    <w:rsid w:val="0001683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33180"/>
    <w:rPr>
      <w:szCs w:val="24"/>
    </w:rPr>
  </w:style>
  <w:style w:type="paragraph" w:styleId="CommentSubject">
    <w:name w:val="annotation subject"/>
    <w:basedOn w:val="CommentText"/>
    <w:next w:val="CommentText"/>
    <w:link w:val="CommentSubjectChar"/>
    <w:uiPriority w:val="99"/>
    <w:semiHidden/>
    <w:unhideWhenUsed/>
    <w:rsid w:val="00552042"/>
    <w:rPr>
      <w:b/>
      <w:bCs/>
    </w:rPr>
  </w:style>
  <w:style w:type="character" w:customStyle="1" w:styleId="CommentSubjectChar">
    <w:name w:val="Comment Subject Char"/>
    <w:basedOn w:val="CommentTextChar"/>
    <w:link w:val="CommentSubject"/>
    <w:uiPriority w:val="99"/>
    <w:semiHidden/>
    <w:rsid w:val="00552042"/>
    <w:rPr>
      <w:rFonts w:ascii="Times New Roman" w:eastAsia="Times New Roman" w:hAnsi="Times New Roman" w:cs="Times New Roman"/>
      <w:b/>
      <w:bCs/>
      <w:sz w:val="20"/>
      <w:szCs w:val="20"/>
    </w:rPr>
  </w:style>
  <w:style w:type="paragraph" w:styleId="Revision">
    <w:name w:val="Revision"/>
    <w:hidden/>
    <w:uiPriority w:val="99"/>
    <w:semiHidden/>
    <w:rsid w:val="00E64F00"/>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674AF"/>
    <w:rPr>
      <w:color w:val="954F72" w:themeColor="followedHyperlink"/>
      <w:u w:val="single"/>
    </w:rPr>
  </w:style>
  <w:style w:type="paragraph" w:styleId="EndnoteText">
    <w:name w:val="endnote text"/>
    <w:basedOn w:val="Normal"/>
    <w:link w:val="EndnoteTextChar"/>
    <w:uiPriority w:val="99"/>
    <w:semiHidden/>
    <w:unhideWhenUsed/>
    <w:rsid w:val="00B46D8A"/>
    <w:rPr>
      <w:sz w:val="20"/>
    </w:rPr>
  </w:style>
  <w:style w:type="character" w:customStyle="1" w:styleId="EndnoteTextChar">
    <w:name w:val="Endnote Text Char"/>
    <w:basedOn w:val="DefaultParagraphFont"/>
    <w:link w:val="EndnoteText"/>
    <w:uiPriority w:val="99"/>
    <w:semiHidden/>
    <w:rsid w:val="00B46D8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46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6052">
      <w:bodyDiv w:val="1"/>
      <w:marLeft w:val="0"/>
      <w:marRight w:val="0"/>
      <w:marTop w:val="0"/>
      <w:marBottom w:val="0"/>
      <w:divBdr>
        <w:top w:val="none" w:sz="0" w:space="0" w:color="auto"/>
        <w:left w:val="none" w:sz="0" w:space="0" w:color="auto"/>
        <w:bottom w:val="none" w:sz="0" w:space="0" w:color="auto"/>
        <w:right w:val="none" w:sz="0" w:space="0" w:color="auto"/>
      </w:divBdr>
      <w:divsChild>
        <w:div w:id="136178415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309600038">
      <w:bodyDiv w:val="1"/>
      <w:marLeft w:val="0"/>
      <w:marRight w:val="0"/>
      <w:marTop w:val="0"/>
      <w:marBottom w:val="0"/>
      <w:divBdr>
        <w:top w:val="none" w:sz="0" w:space="0" w:color="auto"/>
        <w:left w:val="none" w:sz="0" w:space="0" w:color="auto"/>
        <w:bottom w:val="none" w:sz="0" w:space="0" w:color="auto"/>
        <w:right w:val="none" w:sz="0" w:space="0" w:color="auto"/>
      </w:divBdr>
      <w:divsChild>
        <w:div w:id="962267151">
          <w:marLeft w:val="0"/>
          <w:marRight w:val="0"/>
          <w:marTop w:val="0"/>
          <w:marBottom w:val="0"/>
          <w:divBdr>
            <w:top w:val="none" w:sz="0" w:space="0" w:color="auto"/>
            <w:left w:val="none" w:sz="0" w:space="0" w:color="auto"/>
            <w:bottom w:val="none" w:sz="0" w:space="0" w:color="auto"/>
            <w:right w:val="none" w:sz="0" w:space="0" w:color="auto"/>
          </w:divBdr>
        </w:div>
        <w:div w:id="1097558064">
          <w:marLeft w:val="0"/>
          <w:marRight w:val="0"/>
          <w:marTop w:val="0"/>
          <w:marBottom w:val="0"/>
          <w:divBdr>
            <w:top w:val="none" w:sz="0" w:space="0" w:color="auto"/>
            <w:left w:val="none" w:sz="0" w:space="0" w:color="auto"/>
            <w:bottom w:val="none" w:sz="0" w:space="0" w:color="auto"/>
            <w:right w:val="none" w:sz="0" w:space="0" w:color="auto"/>
          </w:divBdr>
        </w:div>
      </w:divsChild>
    </w:div>
    <w:div w:id="378238269">
      <w:bodyDiv w:val="1"/>
      <w:marLeft w:val="0"/>
      <w:marRight w:val="0"/>
      <w:marTop w:val="0"/>
      <w:marBottom w:val="0"/>
      <w:divBdr>
        <w:top w:val="none" w:sz="0" w:space="0" w:color="auto"/>
        <w:left w:val="none" w:sz="0" w:space="0" w:color="auto"/>
        <w:bottom w:val="none" w:sz="0" w:space="0" w:color="auto"/>
        <w:right w:val="none" w:sz="0" w:space="0" w:color="auto"/>
      </w:divBdr>
    </w:div>
    <w:div w:id="770858359">
      <w:bodyDiv w:val="1"/>
      <w:marLeft w:val="0"/>
      <w:marRight w:val="0"/>
      <w:marTop w:val="0"/>
      <w:marBottom w:val="0"/>
      <w:divBdr>
        <w:top w:val="none" w:sz="0" w:space="0" w:color="auto"/>
        <w:left w:val="none" w:sz="0" w:space="0" w:color="auto"/>
        <w:bottom w:val="none" w:sz="0" w:space="0" w:color="auto"/>
        <w:right w:val="none" w:sz="0" w:space="0" w:color="auto"/>
      </w:divBdr>
    </w:div>
    <w:div w:id="874079744">
      <w:bodyDiv w:val="1"/>
      <w:marLeft w:val="0"/>
      <w:marRight w:val="0"/>
      <w:marTop w:val="0"/>
      <w:marBottom w:val="0"/>
      <w:divBdr>
        <w:top w:val="none" w:sz="0" w:space="0" w:color="auto"/>
        <w:left w:val="none" w:sz="0" w:space="0" w:color="auto"/>
        <w:bottom w:val="none" w:sz="0" w:space="0" w:color="auto"/>
        <w:right w:val="none" w:sz="0" w:space="0" w:color="auto"/>
      </w:divBdr>
      <w:divsChild>
        <w:div w:id="1735883374">
          <w:marLeft w:val="0"/>
          <w:marRight w:val="0"/>
          <w:marTop w:val="0"/>
          <w:marBottom w:val="0"/>
          <w:divBdr>
            <w:top w:val="none" w:sz="0" w:space="0" w:color="auto"/>
            <w:left w:val="none" w:sz="0" w:space="0" w:color="auto"/>
            <w:bottom w:val="none" w:sz="0" w:space="0" w:color="auto"/>
            <w:right w:val="none" w:sz="0" w:space="0" w:color="auto"/>
          </w:divBdr>
        </w:div>
        <w:div w:id="1802307079">
          <w:marLeft w:val="0"/>
          <w:marRight w:val="0"/>
          <w:marTop w:val="0"/>
          <w:marBottom w:val="0"/>
          <w:divBdr>
            <w:top w:val="none" w:sz="0" w:space="0" w:color="auto"/>
            <w:left w:val="none" w:sz="0" w:space="0" w:color="auto"/>
            <w:bottom w:val="none" w:sz="0" w:space="0" w:color="auto"/>
            <w:right w:val="none" w:sz="0" w:space="0" w:color="auto"/>
          </w:divBdr>
        </w:div>
      </w:divsChild>
    </w:div>
    <w:div w:id="992829204">
      <w:bodyDiv w:val="1"/>
      <w:marLeft w:val="0"/>
      <w:marRight w:val="0"/>
      <w:marTop w:val="0"/>
      <w:marBottom w:val="0"/>
      <w:divBdr>
        <w:top w:val="none" w:sz="0" w:space="0" w:color="auto"/>
        <w:left w:val="none" w:sz="0" w:space="0" w:color="auto"/>
        <w:bottom w:val="none" w:sz="0" w:space="0" w:color="auto"/>
        <w:right w:val="none" w:sz="0" w:space="0" w:color="auto"/>
      </w:divBdr>
    </w:div>
    <w:div w:id="1225720977">
      <w:bodyDiv w:val="1"/>
      <w:marLeft w:val="0"/>
      <w:marRight w:val="0"/>
      <w:marTop w:val="0"/>
      <w:marBottom w:val="0"/>
      <w:divBdr>
        <w:top w:val="none" w:sz="0" w:space="0" w:color="auto"/>
        <w:left w:val="none" w:sz="0" w:space="0" w:color="auto"/>
        <w:bottom w:val="none" w:sz="0" w:space="0" w:color="auto"/>
        <w:right w:val="none" w:sz="0" w:space="0" w:color="auto"/>
      </w:divBdr>
    </w:div>
    <w:div w:id="1771773472">
      <w:bodyDiv w:val="1"/>
      <w:marLeft w:val="0"/>
      <w:marRight w:val="0"/>
      <w:marTop w:val="0"/>
      <w:marBottom w:val="0"/>
      <w:divBdr>
        <w:top w:val="none" w:sz="0" w:space="0" w:color="auto"/>
        <w:left w:val="none" w:sz="0" w:space="0" w:color="auto"/>
        <w:bottom w:val="none" w:sz="0" w:space="0" w:color="auto"/>
        <w:right w:val="none" w:sz="0" w:space="0" w:color="auto"/>
      </w:divBdr>
      <w:divsChild>
        <w:div w:id="18783755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958558569">
      <w:bodyDiv w:val="1"/>
      <w:marLeft w:val="0"/>
      <w:marRight w:val="0"/>
      <w:marTop w:val="0"/>
      <w:marBottom w:val="0"/>
      <w:divBdr>
        <w:top w:val="none" w:sz="0" w:space="0" w:color="auto"/>
        <w:left w:val="none" w:sz="0" w:space="0" w:color="auto"/>
        <w:bottom w:val="none" w:sz="0" w:space="0" w:color="auto"/>
        <w:right w:val="none" w:sz="0" w:space="0" w:color="auto"/>
      </w:divBdr>
    </w:div>
    <w:div w:id="2109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endtrialgroup.com/" TargetMode="External"/><Relationship Id="rId13" Type="http://schemas.openxmlformats.org/officeDocument/2006/relationships/hyperlink" Target="https://accessibility.psu.edu/nfbpsusettlement/" TargetMode="External"/><Relationship Id="rId18" Type="http://schemas.openxmlformats.org/officeDocument/2006/relationships/hyperlink" Target="http://www.ritzcrackers.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justice.gov/file/163956/download" TargetMode="External"/><Relationship Id="rId7" Type="http://schemas.openxmlformats.org/officeDocument/2006/relationships/endnotes" Target="endnotes.xml"/><Relationship Id="rId12" Type="http://schemas.openxmlformats.org/officeDocument/2006/relationships/hyperlink" Target="https://www2.census.gov/library/publications/2012/demo/p70-131.pdf" TargetMode="External"/><Relationship Id="rId17" Type="http://schemas.openxmlformats.org/officeDocument/2006/relationships/hyperlink" Target="http://www.oreo.com" TargetMode="External"/><Relationship Id="rId25" Type="http://schemas.openxmlformats.org/officeDocument/2006/relationships/hyperlink" Target="https://www.eastendtrialgroup.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pewresearch.org/internet/fact-sheet/internet-broadban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gov/opa/pr/justice-department-secures-agreement-rite-aid-corporation-make-its-online-covid-19-vaccine" TargetMode="External"/><Relationship Id="rId24" Type="http://schemas.openxmlformats.org/officeDocument/2006/relationships/hyperlink" Target="https://www.mondelezADAsettlement.com" TargetMode="External"/><Relationship Id="rId5" Type="http://schemas.openxmlformats.org/officeDocument/2006/relationships/webSettings" Target="webSettings.xml"/><Relationship Id="rId15" Type="http://schemas.openxmlformats.org/officeDocument/2006/relationships/hyperlink" Target="https://www2.ed.gov/documents/press-releases/youngstown-state-university-agreement.pdf" TargetMode="External"/><Relationship Id="rId23" Type="http://schemas.openxmlformats.org/officeDocument/2006/relationships/hyperlink" Target="https://www2.ed.gov/documents/press-releases/youngstown-state-university-agreement.pdf" TargetMode="External"/><Relationship Id="rId28" Type="http://schemas.openxmlformats.org/officeDocument/2006/relationships/fontTable" Target="fontTable.xml"/><Relationship Id="rId10" Type="http://schemas.openxmlformats.org/officeDocument/2006/relationships/hyperlink" Target="https://www.pewresearch.org/internet/fact-sheet/internet-broadband/" TargetMode="External"/><Relationship Id="rId19" Type="http://schemas.openxmlformats.org/officeDocument/2006/relationships/hyperlink" Target="https://www2.census.gov/library/publications/2012/demo/p70-13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justice.gov/file/163956/download" TargetMode="External"/><Relationship Id="rId22" Type="http://schemas.openxmlformats.org/officeDocument/2006/relationships/hyperlink" Target="https://accessibility.psu.edu/nfbpsusettlement/"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accessibility.psu.edu/nfbpsusettlement/" TargetMode="External"/><Relationship Id="rId1" Type="http://schemas.openxmlformats.org/officeDocument/2006/relationships/hyperlink" Target="https://nfb.org//sites/default/files/images/nfb/publications/bm/bm09/bm0901/bm0901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C7DF-0981-6D4A-B00B-1AC438E3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8494</Words>
  <Characters>48417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Tucker</dc:creator>
  <cp:keywords/>
  <dc:description/>
  <cp:lastModifiedBy>Markeita Reid</cp:lastModifiedBy>
  <cp:revision>2</cp:revision>
  <cp:lastPrinted>2020-07-14T18:02:00Z</cp:lastPrinted>
  <dcterms:created xsi:type="dcterms:W3CDTF">2023-05-10T21:33:00Z</dcterms:created>
  <dcterms:modified xsi:type="dcterms:W3CDTF">2023-05-10T21:33:00Z</dcterms:modified>
</cp:coreProperties>
</file>